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25918B9E" w:rsidR="00AD784C" w:rsidRPr="0009050A" w:rsidRDefault="00056AFE" w:rsidP="0016037B">
            <w:pPr>
              <w:pStyle w:val="Documenttitle"/>
            </w:pPr>
            <w:r>
              <w:t>Social Services Regulation Taskforce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128F3DBF" w14:textId="77777777" w:rsidR="000B2117" w:rsidRPr="00877511" w:rsidRDefault="00056AFE" w:rsidP="0016037B">
            <w:pPr>
              <w:pStyle w:val="Documentsubtitle"/>
            </w:pPr>
            <w:r w:rsidRPr="00877511">
              <w:t xml:space="preserve">Terms of </w:t>
            </w:r>
            <w:r w:rsidR="00052D06" w:rsidRPr="00877511">
              <w:t>r</w:t>
            </w:r>
            <w:r w:rsidRPr="00877511">
              <w:t>eference</w:t>
            </w:r>
          </w:p>
          <w:p w14:paraId="69C24C39" w14:textId="37627102" w:rsidR="009928DB" w:rsidRPr="00877511" w:rsidRDefault="5DD2E232" w:rsidP="0016037B">
            <w:pPr>
              <w:pStyle w:val="Documentsubtitle"/>
            </w:pPr>
            <w:r>
              <w:t>Ma</w:t>
            </w:r>
            <w:r w:rsidR="0D14D94A">
              <w:t>y</w:t>
            </w:r>
            <w:r w:rsidR="00785F0B" w:rsidRPr="00877511">
              <w:t xml:space="preserve"> 2024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1849CF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5D1429C0" w14:textId="5147178F" w:rsidR="00F0119C" w:rsidRDefault="00F0119C" w:rsidP="00F0119C">
      <w:pPr>
        <w:pStyle w:val="Body"/>
      </w:pPr>
    </w:p>
    <w:p w14:paraId="42235044" w14:textId="77777777" w:rsidR="00F0119C" w:rsidRPr="00B57329" w:rsidRDefault="00F0119C" w:rsidP="00F0119C">
      <w:pPr>
        <w:pStyle w:val="TOCheadingfactsheet"/>
      </w:pPr>
      <w:r w:rsidRPr="00B57329">
        <w:t>Contents</w:t>
      </w:r>
    </w:p>
    <w:p w14:paraId="13C825FC" w14:textId="1F96AE01" w:rsidR="0082242C" w:rsidRDefault="00F011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56988357" w:history="1">
        <w:r w:rsidR="0082242C" w:rsidRPr="00D147D0">
          <w:rPr>
            <w:rStyle w:val="Hyperlink"/>
          </w:rPr>
          <w:t>Background and context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_Toc156988357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1</w:t>
        </w:r>
        <w:r w:rsidR="0082242C">
          <w:rPr>
            <w:webHidden/>
          </w:rPr>
          <w:fldChar w:fldCharType="end"/>
        </w:r>
      </w:hyperlink>
    </w:p>
    <w:p w14:paraId="0065EBFF" w14:textId="0156218B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58" w:history="1">
        <w:r w:rsidR="0082242C" w:rsidRPr="00D147D0">
          <w:rPr>
            <w:rStyle w:val="Hyperlink"/>
          </w:rPr>
          <w:t>Critical timelines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_Toc156988358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2</w:t>
        </w:r>
        <w:r w:rsidR="0082242C">
          <w:rPr>
            <w:webHidden/>
          </w:rPr>
          <w:fldChar w:fldCharType="end"/>
        </w:r>
      </w:hyperlink>
    </w:p>
    <w:p w14:paraId="611B58FF" w14:textId="23EA2075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59" w:history="1">
        <w:r w:rsidR="0082242C" w:rsidRPr="00D147D0">
          <w:rPr>
            <w:rStyle w:val="Hyperlink"/>
          </w:rPr>
          <w:t>Purpose of the taskforce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_Toc156988359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2</w:t>
        </w:r>
        <w:r w:rsidR="0082242C">
          <w:rPr>
            <w:webHidden/>
          </w:rPr>
          <w:fldChar w:fldCharType="end"/>
        </w:r>
      </w:hyperlink>
    </w:p>
    <w:p w14:paraId="713213CA" w14:textId="5747AEA8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0" w:history="1">
        <w:r w:rsidR="0082242C" w:rsidRPr="00D147D0">
          <w:rPr>
            <w:rStyle w:val="Hyperlink"/>
          </w:rPr>
          <w:t>Consultation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_Toc156988360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3</w:t>
        </w:r>
        <w:r w:rsidR="0082242C">
          <w:rPr>
            <w:webHidden/>
          </w:rPr>
          <w:fldChar w:fldCharType="end"/>
        </w:r>
      </w:hyperlink>
    </w:p>
    <w:p w14:paraId="292E1CDA" w14:textId="44F29B73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1" w:history="1">
        <w:r w:rsidR="0082242C" w:rsidRPr="00D147D0">
          <w:rPr>
            <w:rStyle w:val="Hyperlink"/>
          </w:rPr>
          <w:t>Role of the taskforce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_Toc156988361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3</w:t>
        </w:r>
        <w:r w:rsidR="0082242C">
          <w:rPr>
            <w:webHidden/>
          </w:rPr>
          <w:fldChar w:fldCharType="end"/>
        </w:r>
      </w:hyperlink>
    </w:p>
    <w:p w14:paraId="6915A365" w14:textId="6F8A1837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2" w:history="1">
        <w:r w:rsidR="0082242C" w:rsidRPr="00D147D0">
          <w:rPr>
            <w:rStyle w:val="Hyperlink"/>
          </w:rPr>
          <w:t>Role of the department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_Toc156988362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3</w:t>
        </w:r>
        <w:r w:rsidR="0082242C">
          <w:rPr>
            <w:webHidden/>
          </w:rPr>
          <w:fldChar w:fldCharType="end"/>
        </w:r>
      </w:hyperlink>
    </w:p>
    <w:p w14:paraId="7E2A4F7A" w14:textId="03085815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3" w:history="1">
        <w:r w:rsidR="0082242C" w:rsidRPr="00D147D0">
          <w:rPr>
            <w:rStyle w:val="Hyperlink"/>
          </w:rPr>
          <w:t>Role of regulator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_Toc156988363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4</w:t>
        </w:r>
        <w:r w:rsidR="0082242C">
          <w:rPr>
            <w:webHidden/>
          </w:rPr>
          <w:fldChar w:fldCharType="end"/>
        </w:r>
      </w:hyperlink>
    </w:p>
    <w:p w14:paraId="3837E9D7" w14:textId="64F5174D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4" w:history="1">
        <w:r w:rsidR="0082242C" w:rsidRPr="00D147D0">
          <w:rPr>
            <w:rStyle w:val="Hyperlink"/>
          </w:rPr>
          <w:t>Co-chairs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_Toc156988364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4</w:t>
        </w:r>
        <w:r w:rsidR="0082242C">
          <w:rPr>
            <w:webHidden/>
          </w:rPr>
          <w:fldChar w:fldCharType="end"/>
        </w:r>
      </w:hyperlink>
    </w:p>
    <w:p w14:paraId="5412B3F2" w14:textId="38E9E4E0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5" w:history="1">
        <w:r w:rsidR="0082242C" w:rsidRPr="00D147D0">
          <w:rPr>
            <w:rStyle w:val="Hyperlink"/>
          </w:rPr>
          <w:t>Membership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_Toc156988365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4</w:t>
        </w:r>
        <w:r w:rsidR="0082242C">
          <w:rPr>
            <w:webHidden/>
          </w:rPr>
          <w:fldChar w:fldCharType="end"/>
        </w:r>
      </w:hyperlink>
    </w:p>
    <w:p w14:paraId="6C8E38C2" w14:textId="484DE856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6" w:history="1">
        <w:r w:rsidR="0082242C" w:rsidRPr="00D147D0">
          <w:rPr>
            <w:rStyle w:val="Hyperlink"/>
          </w:rPr>
          <w:t>Remuneration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_Toc156988366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5</w:t>
        </w:r>
        <w:r w:rsidR="0082242C">
          <w:rPr>
            <w:webHidden/>
          </w:rPr>
          <w:fldChar w:fldCharType="end"/>
        </w:r>
      </w:hyperlink>
    </w:p>
    <w:p w14:paraId="27244F42" w14:textId="6AFE4DCA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7" w:history="1">
        <w:r w:rsidR="0082242C" w:rsidRPr="00D147D0">
          <w:rPr>
            <w:rStyle w:val="Hyperlink"/>
          </w:rPr>
          <w:t>Term of the taskforce and meeting frequency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_Toc156988367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5</w:t>
        </w:r>
        <w:r w:rsidR="0082242C">
          <w:rPr>
            <w:webHidden/>
          </w:rPr>
          <w:fldChar w:fldCharType="end"/>
        </w:r>
      </w:hyperlink>
    </w:p>
    <w:p w14:paraId="3701564B" w14:textId="2695DD39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8" w:history="1">
        <w:r w:rsidR="0082242C" w:rsidRPr="00D147D0">
          <w:rPr>
            <w:rStyle w:val="Hyperlink"/>
          </w:rPr>
          <w:t>Confidentiality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_Toc156988368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6</w:t>
        </w:r>
        <w:r w:rsidR="0082242C">
          <w:rPr>
            <w:webHidden/>
          </w:rPr>
          <w:fldChar w:fldCharType="end"/>
        </w:r>
      </w:hyperlink>
    </w:p>
    <w:p w14:paraId="49584161" w14:textId="39EEFFA2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69" w:history="1">
        <w:r w:rsidR="0082242C" w:rsidRPr="00D147D0">
          <w:rPr>
            <w:rStyle w:val="Hyperlink"/>
          </w:rPr>
          <w:t>Termination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_Toc156988369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6</w:t>
        </w:r>
        <w:r w:rsidR="0082242C">
          <w:rPr>
            <w:webHidden/>
          </w:rPr>
          <w:fldChar w:fldCharType="end"/>
        </w:r>
      </w:hyperlink>
    </w:p>
    <w:p w14:paraId="59D100AD" w14:textId="298CDFE7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70" w:history="1">
        <w:r w:rsidR="0082242C" w:rsidRPr="00D147D0">
          <w:rPr>
            <w:rStyle w:val="Hyperlink"/>
          </w:rPr>
          <w:t>Media enquiries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_Toc156988370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6</w:t>
        </w:r>
        <w:r w:rsidR="0082242C">
          <w:rPr>
            <w:webHidden/>
          </w:rPr>
          <w:fldChar w:fldCharType="end"/>
        </w:r>
      </w:hyperlink>
    </w:p>
    <w:p w14:paraId="4213CFE7" w14:textId="06B09C74" w:rsidR="0082242C" w:rsidRDefault="0058605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6988371" w:history="1">
        <w:r w:rsidR="0082242C" w:rsidRPr="00D147D0">
          <w:rPr>
            <w:rStyle w:val="Hyperlink"/>
          </w:rPr>
          <w:t>Attachment 1: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_Toc156988371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7</w:t>
        </w:r>
        <w:r w:rsidR="0082242C">
          <w:rPr>
            <w:webHidden/>
          </w:rPr>
          <w:fldChar w:fldCharType="end"/>
        </w:r>
      </w:hyperlink>
    </w:p>
    <w:p w14:paraId="0D1BAFB5" w14:textId="16C7B339" w:rsidR="0082242C" w:rsidRDefault="0058605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372" w:history="1">
        <w:r w:rsidR="0082242C" w:rsidRPr="00D147D0">
          <w:rPr>
            <w:rStyle w:val="Hyperlink"/>
          </w:rPr>
          <w:t>Membership of the taskforce</w:t>
        </w:r>
        <w:r w:rsidR="0082242C">
          <w:rPr>
            <w:webHidden/>
          </w:rPr>
          <w:tab/>
        </w:r>
        <w:r w:rsidR="0082242C">
          <w:rPr>
            <w:webHidden/>
          </w:rPr>
          <w:fldChar w:fldCharType="begin"/>
        </w:r>
        <w:r w:rsidR="0082242C">
          <w:rPr>
            <w:webHidden/>
          </w:rPr>
          <w:instrText xml:space="preserve"> PAGEREF _Toc156988372 \h </w:instrText>
        </w:r>
        <w:r w:rsidR="0082242C">
          <w:rPr>
            <w:webHidden/>
          </w:rPr>
        </w:r>
        <w:r w:rsidR="0082242C">
          <w:rPr>
            <w:webHidden/>
          </w:rPr>
          <w:fldChar w:fldCharType="separate"/>
        </w:r>
        <w:r w:rsidR="0082242C">
          <w:rPr>
            <w:webHidden/>
          </w:rPr>
          <w:t>7</w:t>
        </w:r>
        <w:r w:rsidR="0082242C">
          <w:rPr>
            <w:webHidden/>
          </w:rPr>
          <w:fldChar w:fldCharType="end"/>
        </w:r>
      </w:hyperlink>
    </w:p>
    <w:p w14:paraId="18B68D8B" w14:textId="7A305D9C" w:rsidR="00823E2A" w:rsidRDefault="00F0119C" w:rsidP="00573802">
      <w:pPr>
        <w:pStyle w:val="Heading1"/>
      </w:pPr>
      <w:r>
        <w:fldChar w:fldCharType="end"/>
      </w:r>
      <w:bookmarkStart w:id="0" w:name="_Toc156988357"/>
      <w:r w:rsidR="00823E2A" w:rsidRPr="00DF3E40">
        <w:t>Background</w:t>
      </w:r>
      <w:r w:rsidR="00823E2A">
        <w:t xml:space="preserve"> and context</w:t>
      </w:r>
      <w:bookmarkEnd w:id="0"/>
    </w:p>
    <w:p w14:paraId="524B324B" w14:textId="26BDC918" w:rsidR="00823E2A" w:rsidRPr="00823E2A" w:rsidRDefault="00823E2A" w:rsidP="00823E2A">
      <w:pPr>
        <w:pStyle w:val="Body"/>
      </w:pPr>
      <w:r w:rsidRPr="00823E2A">
        <w:t>On 16 September 2021, Parliament passed the Social Services Regulation Bill</w:t>
      </w:r>
      <w:r w:rsidR="00CE077A">
        <w:t xml:space="preserve">. The Bill </w:t>
      </w:r>
      <w:r w:rsidRPr="00823E2A">
        <w:t>gives effect to a comprehensive new regulatory scheme for Victorian social services. The scheme aims to reduce or prevent harms to social services users.</w:t>
      </w:r>
      <w:r w:rsidR="00924FF2">
        <w:t xml:space="preserve"> It </w:t>
      </w:r>
      <w:r w:rsidR="00924FF2" w:rsidRPr="00823E2A">
        <w:t>will be implemented in a phased manner from 1 July 2024</w:t>
      </w:r>
    </w:p>
    <w:p w14:paraId="73A78CF0" w14:textId="6C6EC1B9" w:rsidR="0099138B" w:rsidRDefault="00823E2A" w:rsidP="00823E2A">
      <w:pPr>
        <w:pStyle w:val="Body"/>
      </w:pPr>
      <w:r w:rsidRPr="00823E2A">
        <w:t>The regulatory scheme will cover</w:t>
      </w:r>
      <w:r w:rsidR="00FB074C">
        <w:t xml:space="preserve"> the following</w:t>
      </w:r>
      <w:r w:rsidRPr="00823E2A">
        <w:t xml:space="preserve"> social services</w:t>
      </w:r>
      <w:r w:rsidR="0099138B">
        <w:t>:</w:t>
      </w:r>
    </w:p>
    <w:p w14:paraId="4128AB5C" w14:textId="5BF76E17" w:rsidR="0099138B" w:rsidRDefault="00823E2A" w:rsidP="00573802">
      <w:pPr>
        <w:pStyle w:val="Bullet1"/>
      </w:pPr>
      <w:r w:rsidRPr="00823E2A">
        <w:t>child protection</w:t>
      </w:r>
    </w:p>
    <w:p w14:paraId="1259DB74" w14:textId="530798B1" w:rsidR="00C10B74" w:rsidRDefault="00823E2A" w:rsidP="00573802">
      <w:pPr>
        <w:pStyle w:val="Bullet1"/>
      </w:pPr>
      <w:r w:rsidRPr="00823E2A">
        <w:t>community-based child and family</w:t>
      </w:r>
    </w:p>
    <w:p w14:paraId="6E5AB74B" w14:textId="01B845BF" w:rsidR="00C10B74" w:rsidRDefault="00823E2A" w:rsidP="00573802">
      <w:pPr>
        <w:pStyle w:val="Bullet1"/>
      </w:pPr>
      <w:r w:rsidRPr="00823E2A">
        <w:t xml:space="preserve">disability </w:t>
      </w:r>
      <w:r w:rsidR="00C10B74">
        <w:t>(some services)</w:t>
      </w:r>
    </w:p>
    <w:p w14:paraId="7020C86F" w14:textId="797AB849" w:rsidR="00C10B74" w:rsidRDefault="00823E2A" w:rsidP="00573802">
      <w:pPr>
        <w:pStyle w:val="Bullet1"/>
      </w:pPr>
      <w:r w:rsidRPr="00823E2A">
        <w:t>family violence</w:t>
      </w:r>
    </w:p>
    <w:p w14:paraId="19862A42" w14:textId="43935431" w:rsidR="00C10B74" w:rsidRDefault="00823E2A" w:rsidP="00573802">
      <w:pPr>
        <w:pStyle w:val="Bullet1"/>
      </w:pPr>
      <w:r w:rsidRPr="00823E2A">
        <w:lastRenderedPageBreak/>
        <w:t>homelessness</w:t>
      </w:r>
    </w:p>
    <w:p w14:paraId="165B0D22" w14:textId="0B4E14B6" w:rsidR="00C10B74" w:rsidRDefault="00823E2A" w:rsidP="00573802">
      <w:pPr>
        <w:pStyle w:val="Bullet1"/>
      </w:pPr>
      <w:r w:rsidRPr="00823E2A">
        <w:t>out</w:t>
      </w:r>
      <w:r w:rsidR="00C10B74">
        <w:t>-</w:t>
      </w:r>
      <w:r w:rsidRPr="00823E2A">
        <w:t>of</w:t>
      </w:r>
      <w:r w:rsidR="00C10B74">
        <w:t>-</w:t>
      </w:r>
      <w:r w:rsidRPr="00823E2A">
        <w:t>home care</w:t>
      </w:r>
    </w:p>
    <w:p w14:paraId="685451A4" w14:textId="5A6B6DF9" w:rsidR="00C10B74" w:rsidRDefault="00823E2A" w:rsidP="00573802">
      <w:pPr>
        <w:pStyle w:val="Bullet1"/>
      </w:pPr>
      <w:r w:rsidRPr="00823E2A">
        <w:t>sexual assault</w:t>
      </w:r>
    </w:p>
    <w:p w14:paraId="6F7CB815" w14:textId="77777777" w:rsidR="00C10B74" w:rsidRDefault="00823E2A" w:rsidP="00573802">
      <w:pPr>
        <w:pStyle w:val="Bullet1"/>
      </w:pPr>
      <w:r w:rsidRPr="00823E2A">
        <w:t xml:space="preserve">supported residential services. </w:t>
      </w:r>
    </w:p>
    <w:p w14:paraId="29D54283" w14:textId="6666D461" w:rsidR="00823E2A" w:rsidRPr="00823E2A" w:rsidRDefault="00823E2A" w:rsidP="00573802">
      <w:pPr>
        <w:pStyle w:val="Bodyafterbullets"/>
      </w:pPr>
      <w:r w:rsidRPr="00823E2A">
        <w:t xml:space="preserve">Section 3 of the </w:t>
      </w:r>
      <w:r w:rsidRPr="00823E2A">
        <w:rPr>
          <w:i/>
          <w:iCs/>
        </w:rPr>
        <w:t>Social Services Regulation Act 2021</w:t>
      </w:r>
      <w:r w:rsidRPr="00823E2A">
        <w:t xml:space="preserve"> (the Act) provides that these services will be prescribed in </w:t>
      </w:r>
      <w:r w:rsidR="0015797C">
        <w:t>R</w:t>
      </w:r>
      <w:r w:rsidR="0015797C" w:rsidRPr="00823E2A">
        <w:t>egulations</w:t>
      </w:r>
      <w:r w:rsidRPr="00823E2A">
        <w:t xml:space="preserve">. </w:t>
      </w:r>
    </w:p>
    <w:p w14:paraId="75655834" w14:textId="77777777" w:rsidR="00823E2A" w:rsidRPr="00823E2A" w:rsidRDefault="00823E2A" w:rsidP="00823E2A">
      <w:pPr>
        <w:pStyle w:val="Body"/>
      </w:pPr>
      <w:r w:rsidRPr="00823E2A">
        <w:t>The key elements of the new scheme are a:</w:t>
      </w:r>
    </w:p>
    <w:p w14:paraId="0C59A8B0" w14:textId="11EE6ECC" w:rsidR="00823E2A" w:rsidRPr="00823E2A" w:rsidRDefault="00823E2A" w:rsidP="00823E2A">
      <w:pPr>
        <w:pStyle w:val="Bullet1"/>
      </w:pPr>
      <w:r w:rsidRPr="00573802">
        <w:rPr>
          <w:b/>
          <w:bCs/>
        </w:rPr>
        <w:t>mandatory registration framework</w:t>
      </w:r>
      <w:r w:rsidRPr="00823E2A">
        <w:t xml:space="preserve"> for all providers of services that are within scope of the scheme to be accompanied by a one-off registration fee in some circumstances, and an annual registration </w:t>
      </w:r>
      <w:proofErr w:type="gramStart"/>
      <w:r w:rsidRPr="00823E2A">
        <w:t>fee</w:t>
      </w:r>
      <w:proofErr w:type="gramEnd"/>
    </w:p>
    <w:p w14:paraId="66A9156B" w14:textId="298D23E1" w:rsidR="00823E2A" w:rsidRPr="00823E2A" w:rsidRDefault="00823E2A" w:rsidP="00823E2A">
      <w:pPr>
        <w:pStyle w:val="Bullet1"/>
      </w:pPr>
      <w:r w:rsidRPr="00573802">
        <w:rPr>
          <w:b/>
          <w:bCs/>
        </w:rPr>
        <w:t xml:space="preserve">requirement that all registered providers will be required to comply with a new set of </w:t>
      </w:r>
      <w:r w:rsidR="00FA3149">
        <w:rPr>
          <w:b/>
          <w:bCs/>
        </w:rPr>
        <w:t>S</w:t>
      </w:r>
      <w:r w:rsidRPr="00573802">
        <w:rPr>
          <w:b/>
          <w:bCs/>
        </w:rPr>
        <w:t xml:space="preserve">ocial </w:t>
      </w:r>
      <w:r w:rsidR="00FA3149">
        <w:rPr>
          <w:b/>
          <w:bCs/>
        </w:rPr>
        <w:t>S</w:t>
      </w:r>
      <w:r w:rsidRPr="00573802">
        <w:rPr>
          <w:b/>
          <w:bCs/>
        </w:rPr>
        <w:t xml:space="preserve">ervices </w:t>
      </w:r>
      <w:r w:rsidR="00FA3149">
        <w:rPr>
          <w:b/>
          <w:bCs/>
        </w:rPr>
        <w:t>S</w:t>
      </w:r>
      <w:r w:rsidRPr="00573802">
        <w:rPr>
          <w:b/>
          <w:bCs/>
        </w:rPr>
        <w:t>tandards</w:t>
      </w:r>
      <w:r w:rsidRPr="00823E2A">
        <w:t xml:space="preserve">. The new standards will replace the current human services standards and will be outcomes focussed and appropriately target risk. These standards will be prescribed in regulation. </w:t>
      </w:r>
    </w:p>
    <w:p w14:paraId="7FA78D86" w14:textId="26A6400A" w:rsidR="00823E2A" w:rsidRPr="00823E2A" w:rsidRDefault="00823E2A" w:rsidP="00823E2A">
      <w:pPr>
        <w:pStyle w:val="Bullet1"/>
      </w:pPr>
      <w:r w:rsidRPr="00573802">
        <w:rPr>
          <w:b/>
          <w:bCs/>
        </w:rPr>
        <w:t>Social Services Regulator</w:t>
      </w:r>
      <w:r w:rsidRPr="00823E2A">
        <w:t xml:space="preserve">, established as a separate statutory body, to administer the registration system and enforce compliance with the new scheme. The </w:t>
      </w:r>
      <w:r w:rsidR="0042699B">
        <w:t>r</w:t>
      </w:r>
      <w:r w:rsidR="0042699B" w:rsidRPr="00823E2A">
        <w:t xml:space="preserve">egulator </w:t>
      </w:r>
      <w:r w:rsidRPr="00823E2A">
        <w:t>is intended to be appointed in early 2024.</w:t>
      </w:r>
    </w:p>
    <w:p w14:paraId="3EEE7860" w14:textId="6109A58A" w:rsidR="00823E2A" w:rsidRDefault="00823E2A" w:rsidP="00823E2A">
      <w:pPr>
        <w:pStyle w:val="Bodyafterbullets"/>
      </w:pPr>
      <w:r>
        <w:t>During the debate on the Social Services Reform Bill in Parliament, the government committed to establishing a Social Services Regulation Taskforce</w:t>
      </w:r>
      <w:r w:rsidR="0042699B">
        <w:t>. The taskforce will</w:t>
      </w:r>
      <w:r>
        <w:t xml:space="preserve"> support and guide the development of the regulation process ahead of the scheme’s commencement from July 2024.  </w:t>
      </w:r>
    </w:p>
    <w:p w14:paraId="74D26375" w14:textId="5E293375" w:rsidR="0042699B" w:rsidRDefault="00823E2A" w:rsidP="00823E2A">
      <w:pPr>
        <w:pStyle w:val="Body"/>
      </w:pPr>
      <w:r>
        <w:t xml:space="preserve">The announcement included that the taskforce </w:t>
      </w:r>
      <w:proofErr w:type="gramStart"/>
      <w:r w:rsidR="00431727">
        <w:t>will</w:t>
      </w:r>
      <w:proofErr w:type="gramEnd"/>
      <w:r w:rsidR="00431727">
        <w:t xml:space="preserve"> have</w:t>
      </w:r>
      <w:r w:rsidR="0042699B">
        <w:t>:</w:t>
      </w:r>
    </w:p>
    <w:p w14:paraId="7A31F3F4" w14:textId="62AECD17" w:rsidR="00A83121" w:rsidRDefault="00823E2A" w:rsidP="00573802">
      <w:pPr>
        <w:pStyle w:val="Bullet1"/>
      </w:pPr>
      <w:r>
        <w:t xml:space="preserve">an independent co-chair to represent both service providers and </w:t>
      </w:r>
      <w:proofErr w:type="gramStart"/>
      <w:r>
        <w:t>users</w:t>
      </w:r>
      <w:proofErr w:type="gramEnd"/>
    </w:p>
    <w:p w14:paraId="0EE91C33" w14:textId="66FECC63" w:rsidR="00A83121" w:rsidRDefault="00823E2A" w:rsidP="00573802">
      <w:pPr>
        <w:pStyle w:val="Bullet1"/>
      </w:pPr>
      <w:r>
        <w:t xml:space="preserve">a government co-chair representative to advise the government on other issues including further detail around the service standards and scheme coverage in the regulations.  </w:t>
      </w:r>
    </w:p>
    <w:p w14:paraId="6FA8FFE8" w14:textId="41BD1C07" w:rsidR="00056AFE" w:rsidRDefault="00823E2A" w:rsidP="00573802">
      <w:pPr>
        <w:pStyle w:val="Bodyafterbullets"/>
      </w:pPr>
      <w:r>
        <w:t xml:space="preserve">The taskforce is also expected to advise on the requirements that should be set in the regulations to support ongoing advisory mechanisms to the regulator. </w:t>
      </w:r>
    </w:p>
    <w:p w14:paraId="729B820F" w14:textId="77777777" w:rsidR="00823E2A" w:rsidRPr="00823E2A" w:rsidRDefault="00823E2A" w:rsidP="00823E2A">
      <w:pPr>
        <w:pStyle w:val="Heading1"/>
      </w:pPr>
      <w:bookmarkStart w:id="1" w:name="_Toc156988358"/>
      <w:r w:rsidRPr="00823E2A">
        <w:t>Critical timelines</w:t>
      </w:r>
      <w:bookmarkEnd w:id="1"/>
      <w:r w:rsidRPr="00823E2A">
        <w:t xml:space="preserve"> </w:t>
      </w:r>
    </w:p>
    <w:p w14:paraId="297EA86D" w14:textId="2DAF0698" w:rsidR="00823E2A" w:rsidRPr="00823E2A" w:rsidRDefault="00823E2A" w:rsidP="00823E2A">
      <w:pPr>
        <w:pStyle w:val="Body"/>
      </w:pPr>
      <w:r w:rsidRPr="00823E2A">
        <w:t>In respect of the regulations, it is anticipated that</w:t>
      </w:r>
      <w:r w:rsidR="00575051">
        <w:t xml:space="preserve"> the Victorian Government will:</w:t>
      </w:r>
    </w:p>
    <w:p w14:paraId="76867DD3" w14:textId="56AC5C33" w:rsidR="00D254D4" w:rsidRDefault="00D254D4" w:rsidP="00823E2A">
      <w:pPr>
        <w:pStyle w:val="Bullet1"/>
      </w:pPr>
      <w:r>
        <w:t xml:space="preserve">continue to engage with key stakeholders within and outside government during 2023 and early </w:t>
      </w:r>
      <w:proofErr w:type="gramStart"/>
      <w:r>
        <w:t>2024</w:t>
      </w:r>
      <w:proofErr w:type="gramEnd"/>
    </w:p>
    <w:p w14:paraId="28D59384" w14:textId="12F0EEC2" w:rsidR="00D254D4" w:rsidRDefault="001F153A" w:rsidP="00823E2A">
      <w:pPr>
        <w:pStyle w:val="Bullet1"/>
      </w:pPr>
      <w:r>
        <w:t>progressively develop and finalise the regulatory impact assessment to support the draft Regulations between December 2022 and May 2023</w:t>
      </w:r>
    </w:p>
    <w:p w14:paraId="61FAE106" w14:textId="1EB1664A" w:rsidR="001B7DEE" w:rsidRDefault="001B7DEE" w:rsidP="00823E2A">
      <w:pPr>
        <w:pStyle w:val="Bullet1"/>
      </w:pPr>
      <w:r>
        <w:t xml:space="preserve">undertake formal public consultation for the regulatory impact assessment and draft </w:t>
      </w:r>
      <w:proofErr w:type="gramStart"/>
      <w:r>
        <w:t>Regulations</w:t>
      </w:r>
      <w:proofErr w:type="gramEnd"/>
    </w:p>
    <w:p w14:paraId="10A1B439" w14:textId="361A69AA" w:rsidR="001B7DEE" w:rsidRPr="00823E2A" w:rsidRDefault="001B7DEE" w:rsidP="00823E2A">
      <w:pPr>
        <w:pStyle w:val="Bullet1"/>
      </w:pPr>
      <w:r>
        <w:t xml:space="preserve">publish the Regulations in late 2023. </w:t>
      </w:r>
    </w:p>
    <w:p w14:paraId="171C87A4" w14:textId="5BF97C9F" w:rsidR="00823E2A" w:rsidRDefault="00823E2A" w:rsidP="00823E2A">
      <w:pPr>
        <w:pStyle w:val="Heading1"/>
      </w:pPr>
      <w:bookmarkStart w:id="2" w:name="_Toc156988359"/>
      <w:r w:rsidRPr="00823E2A">
        <w:t xml:space="preserve">Purpose of </w:t>
      </w:r>
      <w:r>
        <w:t>the t</w:t>
      </w:r>
      <w:r w:rsidRPr="00823E2A">
        <w:t>askforce</w:t>
      </w:r>
      <w:bookmarkEnd w:id="2"/>
    </w:p>
    <w:p w14:paraId="2D6BDBAD" w14:textId="1D65DB9B" w:rsidR="005850F7" w:rsidRDefault="00823E2A" w:rsidP="00823E2A">
      <w:pPr>
        <w:pStyle w:val="Body"/>
      </w:pPr>
      <w:r w:rsidRPr="00823E2A">
        <w:t>The Social Services Regulation Taskforce will provide strategic advice</w:t>
      </w:r>
      <w:r w:rsidR="00B973FF">
        <w:t xml:space="preserve">. It will </w:t>
      </w:r>
      <w:r w:rsidRPr="00823E2A">
        <w:t>incorporate the perspectives of</w:t>
      </w:r>
      <w:r w:rsidR="005850F7">
        <w:t>:</w:t>
      </w:r>
    </w:p>
    <w:p w14:paraId="19BFF4DE" w14:textId="67A68B78" w:rsidR="005850F7" w:rsidRDefault="00823E2A" w:rsidP="00573802">
      <w:pPr>
        <w:pStyle w:val="Bullet1"/>
      </w:pPr>
      <w:r w:rsidRPr="00823E2A">
        <w:t>social service users</w:t>
      </w:r>
    </w:p>
    <w:p w14:paraId="7655FEDD" w14:textId="7B416357" w:rsidR="005850F7" w:rsidRDefault="00823E2A" w:rsidP="00573802">
      <w:pPr>
        <w:pStyle w:val="Bullet1"/>
      </w:pPr>
      <w:r w:rsidRPr="00823E2A">
        <w:t xml:space="preserve">providers </w:t>
      </w:r>
    </w:p>
    <w:p w14:paraId="591E5F84" w14:textId="77777777" w:rsidR="005850F7" w:rsidRDefault="00823E2A" w:rsidP="00573802">
      <w:pPr>
        <w:pStyle w:val="Bullet1"/>
      </w:pPr>
      <w:r w:rsidRPr="00823E2A">
        <w:t>an individual with expertise in contemporary regulatory practice</w:t>
      </w:r>
      <w:r w:rsidR="009468AA">
        <w:t xml:space="preserve">. </w:t>
      </w:r>
    </w:p>
    <w:p w14:paraId="7DDA7783" w14:textId="168CFE43" w:rsidR="00823E2A" w:rsidRPr="00823E2A" w:rsidRDefault="009468AA" w:rsidP="00573802">
      <w:pPr>
        <w:pStyle w:val="Bodyafterbullets"/>
      </w:pPr>
      <w:r>
        <w:t xml:space="preserve">The strategic advice will </w:t>
      </w:r>
      <w:r w:rsidR="00823E2A" w:rsidRPr="00823E2A">
        <w:t>inform:</w:t>
      </w:r>
    </w:p>
    <w:p w14:paraId="6A3EBB08" w14:textId="4C50BAA4" w:rsidR="00823E2A" w:rsidRPr="00823E2A" w:rsidRDefault="00823E2A" w:rsidP="00823E2A">
      <w:pPr>
        <w:pStyle w:val="Bullet1"/>
      </w:pPr>
      <w:r w:rsidRPr="00823E2A">
        <w:t xml:space="preserve">The </w:t>
      </w:r>
      <w:r w:rsidRPr="00573802">
        <w:rPr>
          <w:b/>
          <w:bCs/>
        </w:rPr>
        <w:t xml:space="preserve">development of draft </w:t>
      </w:r>
      <w:r w:rsidR="000E0E90" w:rsidRPr="00573802">
        <w:rPr>
          <w:b/>
          <w:bCs/>
        </w:rPr>
        <w:t>R</w:t>
      </w:r>
      <w:r w:rsidRPr="00573802">
        <w:rPr>
          <w:b/>
          <w:bCs/>
        </w:rPr>
        <w:t>egulations</w:t>
      </w:r>
      <w:r w:rsidRPr="00823E2A">
        <w:t xml:space="preserve"> critical to the effective implementation of the regulatory scheme</w:t>
      </w:r>
      <w:r w:rsidR="00F05B79">
        <w:t>. These</w:t>
      </w:r>
      <w:r w:rsidRPr="00823E2A">
        <w:t xml:space="preserve"> includ</w:t>
      </w:r>
      <w:r w:rsidR="00F05B79">
        <w:t>e</w:t>
      </w:r>
      <w:r w:rsidRPr="00823E2A">
        <w:t>:</w:t>
      </w:r>
    </w:p>
    <w:p w14:paraId="039A0BA2" w14:textId="4F3BAD31" w:rsidR="00823E2A" w:rsidRPr="00823E2A" w:rsidRDefault="00823E2A" w:rsidP="00823E2A">
      <w:pPr>
        <w:pStyle w:val="Bullet2"/>
      </w:pPr>
      <w:r>
        <w:lastRenderedPageBreak/>
        <w:t>d</w:t>
      </w:r>
      <w:r w:rsidRPr="00823E2A">
        <w:t>efinitions of prescribed social services that will be subject to the regulatory scheme</w:t>
      </w:r>
      <w:r w:rsidR="00651523">
        <w:t xml:space="preserve">. This will </w:t>
      </w:r>
      <w:r w:rsidRPr="00823E2A">
        <w:t xml:space="preserve">ensure the scope of the scheme operates as </w:t>
      </w:r>
      <w:proofErr w:type="gramStart"/>
      <w:r w:rsidRPr="00823E2A">
        <w:t>intended</w:t>
      </w:r>
      <w:proofErr w:type="gramEnd"/>
    </w:p>
    <w:p w14:paraId="47BD04A4" w14:textId="572F1714" w:rsidR="00823E2A" w:rsidRPr="00823E2A" w:rsidRDefault="00823E2A" w:rsidP="00823E2A">
      <w:pPr>
        <w:pStyle w:val="Bullet2"/>
      </w:pPr>
      <w:r>
        <w:t>o</w:t>
      </w:r>
      <w:r w:rsidRPr="00823E2A">
        <w:t xml:space="preserve">utcomes and service requirements for each of the </w:t>
      </w:r>
      <w:r w:rsidR="00106FD7">
        <w:t>6</w:t>
      </w:r>
      <w:r w:rsidR="00106FD7" w:rsidRPr="00823E2A">
        <w:t xml:space="preserve"> </w:t>
      </w:r>
      <w:r w:rsidR="00080CB8">
        <w:t>s</w:t>
      </w:r>
      <w:r w:rsidR="00080CB8" w:rsidRPr="00823E2A">
        <w:t xml:space="preserve">ocial </w:t>
      </w:r>
      <w:r w:rsidR="00CD22CB">
        <w:t>s</w:t>
      </w:r>
      <w:r w:rsidRPr="00823E2A">
        <w:t xml:space="preserve">ervice </w:t>
      </w:r>
      <w:r w:rsidR="00CD22CB">
        <w:t>s</w:t>
      </w:r>
      <w:r w:rsidRPr="00823E2A">
        <w:t>tandards provided for in the Act.</w:t>
      </w:r>
    </w:p>
    <w:p w14:paraId="24D0D907" w14:textId="1B8EA87E" w:rsidR="00823E2A" w:rsidRDefault="00823E2A" w:rsidP="00823E2A">
      <w:pPr>
        <w:pStyle w:val="Bullet1"/>
      </w:pPr>
      <w:r w:rsidRPr="00823E2A">
        <w:t xml:space="preserve">The </w:t>
      </w:r>
      <w:r w:rsidR="00816DF9" w:rsidRPr="00573802">
        <w:rPr>
          <w:b/>
          <w:bCs/>
        </w:rPr>
        <w:t>r</w:t>
      </w:r>
      <w:r w:rsidRPr="00573802">
        <w:rPr>
          <w:b/>
          <w:bCs/>
        </w:rPr>
        <w:t xml:space="preserve">egulatory </w:t>
      </w:r>
      <w:r w:rsidR="00816DF9" w:rsidRPr="00573802">
        <w:rPr>
          <w:b/>
          <w:bCs/>
        </w:rPr>
        <w:t>i</w:t>
      </w:r>
      <w:r w:rsidRPr="00573802">
        <w:rPr>
          <w:b/>
          <w:bCs/>
        </w:rPr>
        <w:t xml:space="preserve">mpact </w:t>
      </w:r>
      <w:r w:rsidR="00816DF9" w:rsidRPr="00573802">
        <w:rPr>
          <w:b/>
          <w:bCs/>
        </w:rPr>
        <w:t>a</w:t>
      </w:r>
      <w:r w:rsidRPr="00573802">
        <w:rPr>
          <w:b/>
          <w:bCs/>
        </w:rPr>
        <w:t>ssessment</w:t>
      </w:r>
      <w:r w:rsidRPr="00823E2A">
        <w:t>, developed by an external consultant.</w:t>
      </w:r>
    </w:p>
    <w:p w14:paraId="65601EF2" w14:textId="6EABA0D5" w:rsidR="00823E2A" w:rsidRPr="00823E2A" w:rsidRDefault="00823E2A" w:rsidP="00823E2A">
      <w:pPr>
        <w:pStyle w:val="Bullet1"/>
      </w:pPr>
      <w:r w:rsidRPr="00823E2A">
        <w:t xml:space="preserve">A </w:t>
      </w:r>
      <w:r w:rsidRPr="00573802">
        <w:rPr>
          <w:b/>
          <w:bCs/>
        </w:rPr>
        <w:t>mapping exercise</w:t>
      </w:r>
      <w:r w:rsidR="008A53DA">
        <w:t xml:space="preserve">, developed and supported by </w:t>
      </w:r>
      <w:r w:rsidR="00DD011E">
        <w:t>t</w:t>
      </w:r>
      <w:r w:rsidRPr="00823E2A">
        <w:t>he Department of Families, Fairness and Housing</w:t>
      </w:r>
      <w:r w:rsidR="00DD011E">
        <w:t xml:space="preserve">. It </w:t>
      </w:r>
      <w:r w:rsidRPr="00823E2A">
        <w:t>will compare the service standards with other schemes</w:t>
      </w:r>
      <w:r w:rsidR="00651523">
        <w:t xml:space="preserve">. It will also </w:t>
      </w:r>
      <w:r w:rsidRPr="00823E2A">
        <w:t xml:space="preserve">consider both State and Commonwealth requirements that service providers are already subject to. This will inform consideration </w:t>
      </w:r>
      <w:r w:rsidR="00931D6E">
        <w:t>about</w:t>
      </w:r>
      <w:r w:rsidRPr="00823E2A">
        <w:t xml:space="preserve"> possible recognition of other schemes for the purpose of:</w:t>
      </w:r>
    </w:p>
    <w:p w14:paraId="6FC955D7" w14:textId="67E34459" w:rsidR="00823E2A" w:rsidRPr="00823E2A" w:rsidRDefault="001E7278" w:rsidP="00823E2A">
      <w:pPr>
        <w:pStyle w:val="Bullet2"/>
      </w:pPr>
      <w:r>
        <w:t>t</w:t>
      </w:r>
      <w:r w:rsidR="00F32BD1">
        <w:t xml:space="preserve">he Act requiring </w:t>
      </w:r>
      <w:r w:rsidR="00823E2A" w:rsidRPr="00823E2A">
        <w:t xml:space="preserve">providers to notify the </w:t>
      </w:r>
      <w:r w:rsidR="00F32BD1">
        <w:t>r</w:t>
      </w:r>
      <w:r w:rsidR="00823E2A" w:rsidRPr="00823E2A">
        <w:t xml:space="preserve">egulator of serious incidents or matters that may pose a serious risk to service </w:t>
      </w:r>
      <w:proofErr w:type="gramStart"/>
      <w:r w:rsidR="00823E2A" w:rsidRPr="00823E2A">
        <w:t>users</w:t>
      </w:r>
      <w:proofErr w:type="gramEnd"/>
    </w:p>
    <w:p w14:paraId="7A637B4E" w14:textId="6EE50BF0" w:rsidR="00823E2A" w:rsidRPr="00823E2A" w:rsidRDefault="00823E2A" w:rsidP="00823E2A">
      <w:pPr>
        <w:pStyle w:val="Bullet2"/>
      </w:pPr>
      <w:r w:rsidRPr="00823E2A">
        <w:t>exempting a provider or class of person providing social services from any of the provisions in the regulations</w:t>
      </w:r>
      <w:r w:rsidR="001E7278">
        <w:t>. For</w:t>
      </w:r>
      <w:r w:rsidRPr="00823E2A">
        <w:t xml:space="preserve"> example</w:t>
      </w:r>
      <w:r w:rsidR="0038187C">
        <w:t>,</w:t>
      </w:r>
      <w:r w:rsidRPr="00823E2A">
        <w:t xml:space="preserve"> a requirement to comply with one or more service </w:t>
      </w:r>
      <w:proofErr w:type="gramStart"/>
      <w:r w:rsidRPr="00823E2A">
        <w:t>requirements</w:t>
      </w:r>
      <w:proofErr w:type="gramEnd"/>
    </w:p>
    <w:p w14:paraId="2BBDFE22" w14:textId="5D064BE9" w:rsidR="00823E2A" w:rsidRDefault="00823E2A" w:rsidP="00823E2A">
      <w:pPr>
        <w:pStyle w:val="Bullet2"/>
      </w:pPr>
      <w:r w:rsidRPr="00823E2A">
        <w:t xml:space="preserve">ensuring a proportionate approach for reporting, </w:t>
      </w:r>
      <w:proofErr w:type="gramStart"/>
      <w:r w:rsidRPr="00823E2A">
        <w:t>compliance</w:t>
      </w:r>
      <w:proofErr w:type="gramEnd"/>
      <w:r w:rsidRPr="00823E2A">
        <w:t xml:space="preserve"> and enforcement</w:t>
      </w:r>
      <w:r w:rsidR="0038187C">
        <w:t xml:space="preserve">. This approach must </w:t>
      </w:r>
      <w:r w:rsidRPr="00823E2A">
        <w:t>lance risk and avoid unnecessary regulatory burden.</w:t>
      </w:r>
    </w:p>
    <w:p w14:paraId="09A077D1" w14:textId="3BB5861C" w:rsidR="00823E2A" w:rsidRDefault="00823E2A" w:rsidP="00823E2A">
      <w:pPr>
        <w:pStyle w:val="Bullet1"/>
      </w:pPr>
      <w:r w:rsidRPr="00573802">
        <w:rPr>
          <w:b/>
          <w:bCs/>
        </w:rPr>
        <w:t xml:space="preserve">Options and advice </w:t>
      </w:r>
      <w:r w:rsidR="008A53DA" w:rsidRPr="00573802">
        <w:rPr>
          <w:b/>
          <w:bCs/>
        </w:rPr>
        <w:t>about</w:t>
      </w:r>
      <w:r w:rsidRPr="00573802">
        <w:rPr>
          <w:b/>
          <w:bCs/>
        </w:rPr>
        <w:t xml:space="preserve"> possible advisory and consultation mechanisms</w:t>
      </w:r>
      <w:r>
        <w:t xml:space="preserve"> with stakeholders including regulated entities, for consideration by the </w:t>
      </w:r>
      <w:r w:rsidR="00F74770">
        <w:t>r</w:t>
      </w:r>
      <w:r>
        <w:t xml:space="preserve">egulator. </w:t>
      </w:r>
    </w:p>
    <w:p w14:paraId="09483BB1" w14:textId="706CA35A" w:rsidR="00885DAB" w:rsidRPr="00877511" w:rsidRDefault="003952A2" w:rsidP="00823E2A">
      <w:pPr>
        <w:pStyle w:val="Bullet1"/>
      </w:pPr>
      <w:r w:rsidRPr="00877511">
        <w:t xml:space="preserve">The development of a complaints model for social services, and </w:t>
      </w:r>
      <w:r w:rsidR="00941340" w:rsidRPr="00877511">
        <w:t xml:space="preserve">new arrangements for </w:t>
      </w:r>
      <w:r w:rsidR="0079136A" w:rsidRPr="00877511">
        <w:t xml:space="preserve">disability worker regulation, </w:t>
      </w:r>
      <w:r w:rsidR="00941340" w:rsidRPr="00877511">
        <w:t xml:space="preserve">both to be overseen by the Regulator, </w:t>
      </w:r>
      <w:r w:rsidR="0079136A" w:rsidRPr="00877511">
        <w:t xml:space="preserve">announced by the </w:t>
      </w:r>
      <w:r w:rsidR="78B68E3C" w:rsidRPr="00877511">
        <w:t xml:space="preserve">Minister </w:t>
      </w:r>
      <w:r w:rsidR="0079136A" w:rsidRPr="00877511">
        <w:t xml:space="preserve">on </w:t>
      </w:r>
      <w:r w:rsidR="00853A73" w:rsidRPr="00877511">
        <w:t>1 February 2024.</w:t>
      </w:r>
    </w:p>
    <w:p w14:paraId="16B466FF" w14:textId="2C63BCA1" w:rsidR="00823E2A" w:rsidRDefault="00823E2A" w:rsidP="00823E2A">
      <w:pPr>
        <w:pStyle w:val="Bullet1"/>
      </w:pPr>
      <w:r w:rsidRPr="00573802">
        <w:rPr>
          <w:b/>
          <w:bCs/>
        </w:rPr>
        <w:t>Any other matters that the taskforce identifies</w:t>
      </w:r>
      <w:r>
        <w:t xml:space="preserve"> as critical to inform the development of appropriate regulations. </w:t>
      </w:r>
    </w:p>
    <w:p w14:paraId="78E89EDB" w14:textId="37D3467A" w:rsidR="00823E2A" w:rsidRDefault="00823E2A" w:rsidP="00823E2A">
      <w:pPr>
        <w:pStyle w:val="Heading1"/>
      </w:pPr>
      <w:bookmarkStart w:id="3" w:name="_Toc156988360"/>
      <w:r>
        <w:t>Consultation</w:t>
      </w:r>
      <w:bookmarkEnd w:id="3"/>
    </w:p>
    <w:p w14:paraId="54D65EB7" w14:textId="77777777" w:rsidR="00FD17E1" w:rsidRDefault="00FD17E1" w:rsidP="00FD17E1">
      <w:pPr>
        <w:pStyle w:val="Body"/>
      </w:pPr>
      <w:r>
        <w:t xml:space="preserve">The taskforce will be a key consultation mechanism with the social services sector. To inform their work, taskforce members should consult as appropriate with social service providers, service users and experts. </w:t>
      </w:r>
    </w:p>
    <w:p w14:paraId="3F438BAA" w14:textId="51F2CB99" w:rsidR="00823E2A" w:rsidRDefault="00FD17E1" w:rsidP="00FD17E1">
      <w:pPr>
        <w:pStyle w:val="Body"/>
      </w:pPr>
      <w:r>
        <w:t xml:space="preserve">The department will continue to consult with </w:t>
      </w:r>
      <w:r w:rsidR="00C57CFC">
        <w:t xml:space="preserve">internal and external </w:t>
      </w:r>
      <w:r>
        <w:t>stakeholders and across government</w:t>
      </w:r>
      <w:r w:rsidR="008C081D">
        <w:t xml:space="preserve">. This will </w:t>
      </w:r>
      <w:r>
        <w:t xml:space="preserve">inform operational, legal and policy and design aspects of implementing the scheme, including developing a broad range of regulations.  </w:t>
      </w:r>
    </w:p>
    <w:p w14:paraId="65439B08" w14:textId="6A79A092" w:rsidR="00FD17E1" w:rsidRDefault="00FD17E1" w:rsidP="00FD17E1">
      <w:pPr>
        <w:pStyle w:val="Heading1"/>
      </w:pPr>
      <w:bookmarkStart w:id="4" w:name="_Toc156988361"/>
      <w:r>
        <w:t>Role of the taskforce</w:t>
      </w:r>
      <w:bookmarkEnd w:id="4"/>
    </w:p>
    <w:p w14:paraId="60D7B84F" w14:textId="77777777" w:rsidR="00FD17E1" w:rsidRPr="00FD17E1" w:rsidRDefault="00FD17E1" w:rsidP="00FD17E1">
      <w:pPr>
        <w:pStyle w:val="Body"/>
      </w:pPr>
      <w:r w:rsidRPr="00FD17E1">
        <w:t>The role of the taskforce is to:</w:t>
      </w:r>
    </w:p>
    <w:p w14:paraId="3636DA16" w14:textId="6CC2466D" w:rsidR="00B020C2" w:rsidRDefault="00B020C2" w:rsidP="00FD17E1">
      <w:pPr>
        <w:pStyle w:val="Bullet1"/>
      </w:pPr>
      <w:r>
        <w:t>p</w:t>
      </w:r>
      <w:r w:rsidR="00FD17E1" w:rsidRPr="00FD17E1">
        <w:t xml:space="preserve">rovide input into the development of key draft </w:t>
      </w:r>
      <w:proofErr w:type="gramStart"/>
      <w:r w:rsidR="00816DF9">
        <w:t>r</w:t>
      </w:r>
      <w:r w:rsidR="00FD17E1" w:rsidRPr="00FD17E1">
        <w:t>egulations</w:t>
      </w:r>
      <w:proofErr w:type="gramEnd"/>
    </w:p>
    <w:p w14:paraId="4EC68A90" w14:textId="5A5C2F85" w:rsidR="00FD17E1" w:rsidRPr="00FD17E1" w:rsidRDefault="00B020C2" w:rsidP="00FD17E1">
      <w:pPr>
        <w:pStyle w:val="Bullet1"/>
      </w:pPr>
      <w:r>
        <w:t>provide in</w:t>
      </w:r>
      <w:r w:rsidR="00341D4A">
        <w:t xml:space="preserve">put into a </w:t>
      </w:r>
      <w:r w:rsidR="00FD17E1" w:rsidRPr="00FD17E1">
        <w:t xml:space="preserve">mapping exercise of other schemes </w:t>
      </w:r>
      <w:r w:rsidR="00ED6C01">
        <w:t xml:space="preserve">that may already cover </w:t>
      </w:r>
      <w:proofErr w:type="gramStart"/>
      <w:r w:rsidR="00FD17E1" w:rsidRPr="00FD17E1">
        <w:t>providers</w:t>
      </w:r>
      <w:proofErr w:type="gramEnd"/>
    </w:p>
    <w:p w14:paraId="31BE8450" w14:textId="619C5FC9" w:rsidR="00FD17E1" w:rsidRPr="00FD17E1" w:rsidRDefault="00341D4A" w:rsidP="00FD17E1">
      <w:pPr>
        <w:pStyle w:val="Bullet1"/>
      </w:pPr>
      <w:r>
        <w:t>c</w:t>
      </w:r>
      <w:r w:rsidR="00FD17E1" w:rsidRPr="00FD17E1">
        <w:t xml:space="preserve">onsider and make recommendations </w:t>
      </w:r>
      <w:r w:rsidR="00E306EF">
        <w:t>about</w:t>
      </w:r>
      <w:r w:rsidR="00FD17E1" w:rsidRPr="00FD17E1">
        <w:t xml:space="preserve"> possible models for advisory and consultation mechanisms to the </w:t>
      </w:r>
      <w:r w:rsidR="008A6D2B">
        <w:t>r</w:t>
      </w:r>
      <w:r w:rsidR="00FD17E1" w:rsidRPr="00FD17E1">
        <w:t xml:space="preserve">egulator, for the </w:t>
      </w:r>
      <w:r w:rsidR="008A6D2B">
        <w:t>r</w:t>
      </w:r>
      <w:r w:rsidR="00FD17E1" w:rsidRPr="00FD17E1">
        <w:t>egulator’s consideration.</w:t>
      </w:r>
    </w:p>
    <w:p w14:paraId="74E6CE45" w14:textId="4713902A" w:rsidR="00FD17E1" w:rsidRPr="00FD17E1" w:rsidRDefault="00E306EF" w:rsidP="00FD17E1">
      <w:pPr>
        <w:pStyle w:val="Bullet1"/>
      </w:pPr>
      <w:r>
        <w:t>r</w:t>
      </w:r>
      <w:r w:rsidR="00FD17E1" w:rsidRPr="00FD17E1">
        <w:t>epresent and reflect the perspectives of providers and/or service users, and regulatory experts.</w:t>
      </w:r>
    </w:p>
    <w:p w14:paraId="55842BC5" w14:textId="548E758C" w:rsidR="00FD17E1" w:rsidRPr="00FD17E1" w:rsidRDefault="00E306EF" w:rsidP="00FD17E1">
      <w:pPr>
        <w:pStyle w:val="Bullet1"/>
      </w:pPr>
      <w:r>
        <w:t>s</w:t>
      </w:r>
      <w:r w:rsidR="00FD17E1" w:rsidRPr="00FD17E1">
        <w:t>hare information and communicate with other stakeholders, where such information is not confidential.</w:t>
      </w:r>
    </w:p>
    <w:p w14:paraId="01365333" w14:textId="2926E332" w:rsidR="008A494F" w:rsidRDefault="00E306EF" w:rsidP="008A494F">
      <w:pPr>
        <w:pStyle w:val="Bullet1"/>
      </w:pPr>
      <w:r>
        <w:t>i</w:t>
      </w:r>
      <w:r w:rsidR="00FD17E1" w:rsidRPr="00FD17E1">
        <w:t xml:space="preserve">nform and report to relevant </w:t>
      </w:r>
      <w:r>
        <w:t>m</w:t>
      </w:r>
      <w:r w:rsidR="00FD17E1" w:rsidRPr="00FD17E1">
        <w:t xml:space="preserve">inisters at regular intervals </w:t>
      </w:r>
      <w:r>
        <w:t>about</w:t>
      </w:r>
      <w:r w:rsidR="00FD17E1" w:rsidRPr="00FD17E1">
        <w:t xml:space="preserve"> progress and any critical issues.</w:t>
      </w:r>
    </w:p>
    <w:p w14:paraId="592CBF30" w14:textId="53E6B47A" w:rsidR="00FD17E1" w:rsidRPr="00FD17E1" w:rsidRDefault="00FD17E1" w:rsidP="00FD17E1">
      <w:pPr>
        <w:pStyle w:val="Heading1"/>
      </w:pPr>
      <w:bookmarkStart w:id="5" w:name="_Toc156988362"/>
      <w:r>
        <w:t>Role of the department</w:t>
      </w:r>
      <w:bookmarkEnd w:id="5"/>
    </w:p>
    <w:p w14:paraId="0F905140" w14:textId="77777777" w:rsidR="00FD17E1" w:rsidRDefault="00FD17E1" w:rsidP="00FD17E1">
      <w:pPr>
        <w:pStyle w:val="Body"/>
      </w:pPr>
      <w:bookmarkStart w:id="6" w:name="_Hlk156306697"/>
      <w:r>
        <w:t>The department’s role will include responsibility for:</w:t>
      </w:r>
    </w:p>
    <w:bookmarkEnd w:id="6"/>
    <w:p w14:paraId="332403FC" w14:textId="2125EA26" w:rsidR="00FD17E1" w:rsidRPr="00C573C8" w:rsidRDefault="00412D93" w:rsidP="00FD17E1">
      <w:pPr>
        <w:pStyle w:val="Bullet1"/>
      </w:pPr>
      <w:r w:rsidRPr="00C573C8">
        <w:t>d</w:t>
      </w:r>
      <w:r w:rsidR="00FD17E1" w:rsidRPr="00C573C8">
        <w:t xml:space="preserve">rafting the </w:t>
      </w:r>
      <w:r w:rsidR="00816DF9" w:rsidRPr="00C573C8">
        <w:t>r</w:t>
      </w:r>
      <w:r w:rsidR="00FD17E1" w:rsidRPr="00C573C8">
        <w:t xml:space="preserve">egulations and </w:t>
      </w:r>
      <w:r w:rsidR="00816DF9" w:rsidRPr="00C573C8">
        <w:t>r</w:t>
      </w:r>
      <w:r w:rsidR="00FD17E1" w:rsidRPr="00C573C8">
        <w:t xml:space="preserve">egulatory </w:t>
      </w:r>
      <w:r w:rsidR="00816DF9" w:rsidRPr="00C573C8">
        <w:t>i</w:t>
      </w:r>
      <w:r w:rsidR="00FD17E1" w:rsidRPr="00C573C8">
        <w:t xml:space="preserve">mpact </w:t>
      </w:r>
      <w:r w:rsidR="00816DF9" w:rsidRPr="00C573C8">
        <w:t>a</w:t>
      </w:r>
      <w:r w:rsidR="00FD17E1" w:rsidRPr="00C573C8">
        <w:t>ssessment</w:t>
      </w:r>
      <w:r w:rsidR="00606904" w:rsidRPr="00C573C8">
        <w:t xml:space="preserve">. This will be with </w:t>
      </w:r>
      <w:r w:rsidR="00FD17E1" w:rsidRPr="00C573C8">
        <w:t xml:space="preserve">support from an external consultant and input from the taskforce and internal and external </w:t>
      </w:r>
      <w:proofErr w:type="gramStart"/>
      <w:r w:rsidR="00FD17E1" w:rsidRPr="00C573C8">
        <w:t>stakeholders</w:t>
      </w:r>
      <w:proofErr w:type="gramEnd"/>
    </w:p>
    <w:p w14:paraId="27376ABD" w14:textId="106A4F66" w:rsidR="00FD17E1" w:rsidRPr="00C573C8" w:rsidRDefault="00606904" w:rsidP="00FD17E1">
      <w:pPr>
        <w:pStyle w:val="Bullet1"/>
      </w:pPr>
      <w:r w:rsidRPr="00C573C8">
        <w:t>f</w:t>
      </w:r>
      <w:r w:rsidR="00FD17E1" w:rsidRPr="00C573C8">
        <w:t>inal policy decisions</w:t>
      </w:r>
      <w:r w:rsidR="00A03671" w:rsidRPr="00C573C8">
        <w:t xml:space="preserve">. This </w:t>
      </w:r>
      <w:r w:rsidR="00FD17E1" w:rsidRPr="00C573C8">
        <w:t>includ</w:t>
      </w:r>
      <w:r w:rsidR="00A03671" w:rsidRPr="00C573C8">
        <w:t>es</w:t>
      </w:r>
      <w:r w:rsidR="00FD17E1" w:rsidRPr="00C573C8">
        <w:t xml:space="preserve"> finalising the draft </w:t>
      </w:r>
      <w:r w:rsidR="00816DF9" w:rsidRPr="00C573C8">
        <w:t>r</w:t>
      </w:r>
      <w:r w:rsidR="00FD17E1" w:rsidRPr="00C573C8">
        <w:t xml:space="preserve">egulations and </w:t>
      </w:r>
      <w:r w:rsidR="00816DF9" w:rsidRPr="00C573C8">
        <w:t>r</w:t>
      </w:r>
      <w:r w:rsidR="00FD17E1" w:rsidRPr="00C573C8">
        <w:t xml:space="preserve">egulatory </w:t>
      </w:r>
      <w:r w:rsidR="00816DF9" w:rsidRPr="00C573C8">
        <w:t>i</w:t>
      </w:r>
      <w:r w:rsidR="00FD17E1" w:rsidRPr="00C573C8">
        <w:t xml:space="preserve">mpact </w:t>
      </w:r>
      <w:r w:rsidR="00816DF9" w:rsidRPr="00C573C8">
        <w:t>a</w:t>
      </w:r>
      <w:r w:rsidR="00FD17E1" w:rsidRPr="00C573C8">
        <w:t>ssessment for consideration of the Minister and the Governor in Council.</w:t>
      </w:r>
    </w:p>
    <w:p w14:paraId="6394B4FE" w14:textId="2A138F53" w:rsidR="00FD17E1" w:rsidRPr="00C573C8" w:rsidRDefault="00A03671" w:rsidP="00FD17E1">
      <w:pPr>
        <w:pStyle w:val="Bullet1"/>
      </w:pPr>
      <w:bookmarkStart w:id="7" w:name="_Hlk156306705"/>
      <w:r w:rsidRPr="00C573C8">
        <w:lastRenderedPageBreak/>
        <w:t>p</w:t>
      </w:r>
      <w:r w:rsidR="00FD17E1" w:rsidRPr="00C573C8">
        <w:t>roviding secretariat support to the taskforce</w:t>
      </w:r>
      <w:r w:rsidRPr="00C573C8">
        <w:t>. This i</w:t>
      </w:r>
      <w:r w:rsidR="00FD17E1" w:rsidRPr="00C573C8">
        <w:t>nclud</w:t>
      </w:r>
      <w:r w:rsidRPr="00C573C8">
        <w:t xml:space="preserve">es </w:t>
      </w:r>
      <w:r w:rsidR="00FD17E1" w:rsidRPr="00C573C8">
        <w:t xml:space="preserve">developing meeting agendas and discussion and policy papers, recording meeting outcomes, and tracking progress against agreed </w:t>
      </w:r>
      <w:proofErr w:type="gramStart"/>
      <w:r w:rsidR="00FD17E1" w:rsidRPr="00C573C8">
        <w:t>actions</w:t>
      </w:r>
      <w:proofErr w:type="gramEnd"/>
    </w:p>
    <w:bookmarkEnd w:id="7"/>
    <w:p w14:paraId="7A5E2779" w14:textId="4190D955" w:rsidR="00FD17E1" w:rsidRPr="00C573C8" w:rsidRDefault="00A03671" w:rsidP="00FD17E1">
      <w:pPr>
        <w:pStyle w:val="Bullet1"/>
      </w:pPr>
      <w:r w:rsidRPr="00C573C8">
        <w:t>u</w:t>
      </w:r>
      <w:r w:rsidR="00FD17E1" w:rsidRPr="00C573C8">
        <w:t xml:space="preserve">pdating the taskforce </w:t>
      </w:r>
      <w:r w:rsidRPr="00C573C8">
        <w:t>about</w:t>
      </w:r>
      <w:r w:rsidR="00FD17E1" w:rsidRPr="00C573C8">
        <w:t xml:space="preserve"> key deliverables</w:t>
      </w:r>
      <w:r w:rsidRPr="00C573C8">
        <w:t xml:space="preserve">. This </w:t>
      </w:r>
      <w:r w:rsidR="00FD17E1" w:rsidRPr="00C573C8">
        <w:t>includ</w:t>
      </w:r>
      <w:r w:rsidRPr="00C573C8">
        <w:t>es</w:t>
      </w:r>
      <w:r w:rsidR="00FD17E1" w:rsidRPr="00C573C8">
        <w:t xml:space="preserve"> progress in developing the regulations, the regulatory impact assessment and standing up the Social Services Regulator</w:t>
      </w:r>
    </w:p>
    <w:p w14:paraId="1CB566ED" w14:textId="7D046E21" w:rsidR="00D87492" w:rsidRDefault="00A03671" w:rsidP="00573802">
      <w:pPr>
        <w:pStyle w:val="Bullet1"/>
      </w:pPr>
      <w:r w:rsidRPr="00C573C8">
        <w:t>e</w:t>
      </w:r>
      <w:r w:rsidR="00FD17E1" w:rsidRPr="00C573C8">
        <w:t>ngag</w:t>
      </w:r>
      <w:r w:rsidRPr="00C573C8">
        <w:t xml:space="preserve">ing </w:t>
      </w:r>
      <w:r w:rsidR="00C573C8" w:rsidRPr="00573802">
        <w:t xml:space="preserve">with </w:t>
      </w:r>
      <w:r w:rsidR="00FD17E1" w:rsidRPr="00C573C8">
        <w:t>stakeholders</w:t>
      </w:r>
      <w:r w:rsidR="006E432E">
        <w:t xml:space="preserve"> external to and</w:t>
      </w:r>
      <w:r w:rsidR="00FD17E1">
        <w:t xml:space="preserve"> within the department</w:t>
      </w:r>
      <w:r w:rsidR="006E432E">
        <w:t>,</w:t>
      </w:r>
      <w:r w:rsidR="00FD17E1">
        <w:t xml:space="preserve"> and across government.</w:t>
      </w:r>
    </w:p>
    <w:p w14:paraId="1C24FF44" w14:textId="78443166" w:rsidR="00FD17E1" w:rsidRDefault="00FD17E1" w:rsidP="00FD17E1">
      <w:pPr>
        <w:pStyle w:val="Heading1"/>
      </w:pPr>
      <w:bookmarkStart w:id="8" w:name="_Toc156988363"/>
      <w:r>
        <w:t xml:space="preserve">Role of </w:t>
      </w:r>
      <w:r w:rsidR="001A2AB8">
        <w:t>r</w:t>
      </w:r>
      <w:r>
        <w:t>egulator</w:t>
      </w:r>
      <w:bookmarkEnd w:id="8"/>
    </w:p>
    <w:p w14:paraId="1399B628" w14:textId="683881E6" w:rsidR="00FD17E1" w:rsidRDefault="00FD17E1" w:rsidP="00FD17E1">
      <w:pPr>
        <w:pStyle w:val="Body"/>
      </w:pPr>
      <w:r w:rsidRPr="00FD17E1">
        <w:t xml:space="preserve">The </w:t>
      </w:r>
      <w:r w:rsidR="001A2AB8">
        <w:t>r</w:t>
      </w:r>
      <w:r w:rsidRPr="00FD17E1">
        <w:t>egulator will be an independent body corporate</w:t>
      </w:r>
      <w:r w:rsidR="004405EB">
        <w:t>. The</w:t>
      </w:r>
      <w:r w:rsidRPr="00FD17E1">
        <w:t xml:space="preserve"> Governor in Council </w:t>
      </w:r>
      <w:r w:rsidR="004405EB">
        <w:t xml:space="preserve">will appoint the regulator </w:t>
      </w:r>
      <w:r w:rsidRPr="00FD17E1">
        <w:t xml:space="preserve">on advice from the responsible </w:t>
      </w:r>
      <w:r w:rsidR="004405EB">
        <w:t>m</w:t>
      </w:r>
      <w:r w:rsidRPr="00FD17E1">
        <w:t>inister.</w:t>
      </w:r>
    </w:p>
    <w:p w14:paraId="7A0D9908" w14:textId="5ADC32AA" w:rsidR="00FD17E1" w:rsidRDefault="00FD17E1" w:rsidP="00FD17E1">
      <w:pPr>
        <w:pStyle w:val="Body"/>
      </w:pPr>
      <w:r w:rsidRPr="00FD17E1">
        <w:t xml:space="preserve">The </w:t>
      </w:r>
      <w:r w:rsidR="001A2AB8">
        <w:t>r</w:t>
      </w:r>
      <w:r w:rsidRPr="00FD17E1">
        <w:t>egulator’s role, once appointed, will include responsibility for:</w:t>
      </w:r>
    </w:p>
    <w:p w14:paraId="6354019A" w14:textId="564EA775" w:rsidR="00FD17E1" w:rsidRPr="00FD17E1" w:rsidRDefault="00490A80" w:rsidP="00FD17E1">
      <w:pPr>
        <w:pStyle w:val="Bullet1"/>
      </w:pPr>
      <w:r>
        <w:t>c</w:t>
      </w:r>
      <w:r w:rsidR="00FD17E1" w:rsidRPr="00FD17E1">
        <w:t>ontributing to implementation planning</w:t>
      </w:r>
      <w:r w:rsidR="00E91262">
        <w:t xml:space="preserve">. This </w:t>
      </w:r>
      <w:r w:rsidR="00FD17E1" w:rsidRPr="00FD17E1">
        <w:t>includ</w:t>
      </w:r>
      <w:r w:rsidR="00E91262">
        <w:t>es</w:t>
      </w:r>
      <w:r w:rsidR="00FD17E1" w:rsidRPr="00FD17E1">
        <w:t xml:space="preserve"> drafting </w:t>
      </w:r>
      <w:r w:rsidR="00EC4466">
        <w:t>information for</w:t>
      </w:r>
      <w:r w:rsidR="00FD17E1" w:rsidRPr="00FD17E1">
        <w:t xml:space="preserve"> regulated entities </w:t>
      </w:r>
      <w:r w:rsidR="00EC4466">
        <w:t>to explain</w:t>
      </w:r>
      <w:r w:rsidR="00EC4466" w:rsidRPr="00FD17E1">
        <w:t xml:space="preserve"> </w:t>
      </w:r>
      <w:r w:rsidR="00FD17E1" w:rsidRPr="00FD17E1">
        <w:t xml:space="preserve">the requirements of the new </w:t>
      </w:r>
      <w:proofErr w:type="gramStart"/>
      <w:r w:rsidR="00FD17E1" w:rsidRPr="00FD17E1">
        <w:t>scheme</w:t>
      </w:r>
      <w:proofErr w:type="gramEnd"/>
    </w:p>
    <w:p w14:paraId="28CE5BF2" w14:textId="66C42EBE" w:rsidR="00FD17E1" w:rsidRPr="00FD17E1" w:rsidRDefault="00490A80" w:rsidP="00FD17E1">
      <w:pPr>
        <w:pStyle w:val="Bullet1"/>
      </w:pPr>
      <w:r>
        <w:t>c</w:t>
      </w:r>
      <w:r w:rsidR="00FD17E1" w:rsidRPr="00FD17E1">
        <w:t>ompliance monitoring and enforcement</w:t>
      </w:r>
    </w:p>
    <w:p w14:paraId="0FAA1514" w14:textId="15A3FAF2" w:rsidR="00FD17E1" w:rsidRPr="00FD17E1" w:rsidRDefault="00490A80" w:rsidP="00FD17E1">
      <w:pPr>
        <w:pStyle w:val="Bullet1"/>
      </w:pPr>
      <w:r>
        <w:t>d</w:t>
      </w:r>
      <w:r w:rsidR="00FD17E1" w:rsidRPr="00FD17E1">
        <w:t xml:space="preserve">eveloping and issuing guidance and education </w:t>
      </w:r>
      <w:r w:rsidR="00C9663B">
        <w:t>about</w:t>
      </w:r>
      <w:r w:rsidR="00C9663B" w:rsidRPr="00FD17E1">
        <w:t xml:space="preserve"> </w:t>
      </w:r>
      <w:r w:rsidR="00FD17E1" w:rsidRPr="00FD17E1">
        <w:t>social service providers</w:t>
      </w:r>
      <w:r w:rsidR="00C9663B">
        <w:t>’</w:t>
      </w:r>
      <w:r w:rsidR="00FD17E1" w:rsidRPr="00FD17E1">
        <w:t xml:space="preserve"> duties and obligations under the Act and how they may comply with </w:t>
      </w:r>
      <w:proofErr w:type="gramStart"/>
      <w:r w:rsidR="00FD17E1" w:rsidRPr="00FD17E1">
        <w:t>those</w:t>
      </w:r>
      <w:proofErr w:type="gramEnd"/>
    </w:p>
    <w:p w14:paraId="0AF762A8" w14:textId="00F74E60" w:rsidR="00FD17E1" w:rsidRPr="00FD17E1" w:rsidRDefault="00490A80" w:rsidP="00FD17E1">
      <w:pPr>
        <w:pStyle w:val="Bullet1"/>
      </w:pPr>
      <w:r>
        <w:t>i</w:t>
      </w:r>
      <w:r w:rsidR="00FD17E1" w:rsidRPr="00FD17E1">
        <w:t xml:space="preserve">ssuing and publishing guidelines </w:t>
      </w:r>
      <w:r w:rsidR="002B2F7E">
        <w:t>about</w:t>
      </w:r>
      <w:r w:rsidR="00FD17E1" w:rsidRPr="00FD17E1">
        <w:t xml:space="preserve"> matters relevant to the exercise of its functions, as provided for in the </w:t>
      </w:r>
      <w:proofErr w:type="gramStart"/>
      <w:r w:rsidR="00FD17E1" w:rsidRPr="00FD17E1">
        <w:t>Act</w:t>
      </w:r>
      <w:proofErr w:type="gramEnd"/>
    </w:p>
    <w:p w14:paraId="1DAA920C" w14:textId="001CD472" w:rsidR="00490A80" w:rsidRPr="00490A80" w:rsidRDefault="00490A80" w:rsidP="00573802">
      <w:pPr>
        <w:pStyle w:val="Bullet1"/>
      </w:pPr>
      <w:r w:rsidRPr="00490A80">
        <w:t>e</w:t>
      </w:r>
      <w:r w:rsidR="00FD17E1" w:rsidRPr="00490A80">
        <w:t xml:space="preserve">ngaging with stakeholders to inform priority setting and the regulatory </w:t>
      </w:r>
      <w:proofErr w:type="gramStart"/>
      <w:r w:rsidR="00FD17E1" w:rsidRPr="00490A80">
        <w:t>approach</w:t>
      </w:r>
      <w:proofErr w:type="gramEnd"/>
    </w:p>
    <w:p w14:paraId="7456E34B" w14:textId="6EBECA37" w:rsidR="00FD17E1" w:rsidRPr="00490A80" w:rsidRDefault="00490A80" w:rsidP="00490A80">
      <w:pPr>
        <w:pStyle w:val="Bullet1"/>
      </w:pPr>
      <w:r w:rsidRPr="00490A80">
        <w:t>i</w:t>
      </w:r>
      <w:r w:rsidR="00FD17E1" w:rsidRPr="00490A80">
        <w:t xml:space="preserve">ssuing compliance codes </w:t>
      </w:r>
      <w:r w:rsidRPr="00490A80">
        <w:t>to</w:t>
      </w:r>
      <w:r w:rsidR="00FD17E1" w:rsidRPr="00490A80">
        <w:t xml:space="preserve"> provid</w:t>
      </w:r>
      <w:r w:rsidRPr="00490A80">
        <w:t>e</w:t>
      </w:r>
      <w:r w:rsidR="00FD17E1" w:rsidRPr="00490A80">
        <w:t xml:space="preserve"> practical guidance to any registered social service provider, once approved by the Governor in Council.</w:t>
      </w:r>
    </w:p>
    <w:p w14:paraId="46601F74" w14:textId="7AEB4412" w:rsidR="00FD17E1" w:rsidRDefault="00FD17E1" w:rsidP="00FD17E1">
      <w:pPr>
        <w:pStyle w:val="Heading1"/>
      </w:pPr>
      <w:bookmarkStart w:id="9" w:name="_Toc156988364"/>
      <w:r>
        <w:t>Co-chairs</w:t>
      </w:r>
      <w:bookmarkEnd w:id="9"/>
    </w:p>
    <w:p w14:paraId="4D351D54" w14:textId="77777777" w:rsidR="00FD17E1" w:rsidRPr="00FD17E1" w:rsidRDefault="00FD17E1" w:rsidP="00FD17E1">
      <w:pPr>
        <w:pStyle w:val="Body"/>
      </w:pPr>
      <w:bookmarkStart w:id="10" w:name="_Hlk156306096"/>
      <w:r w:rsidRPr="00FD17E1">
        <w:t>The taskforce will consist of a government co-chair and an independent co-chair representing both service users and service providers from the Social Services sector.</w:t>
      </w:r>
    </w:p>
    <w:bookmarkEnd w:id="10"/>
    <w:p w14:paraId="09B30220" w14:textId="77777777" w:rsidR="00FD17E1" w:rsidRPr="00FD17E1" w:rsidRDefault="00FD17E1" w:rsidP="00FD17E1">
      <w:pPr>
        <w:pStyle w:val="Body"/>
      </w:pPr>
      <w:r w:rsidRPr="00FD17E1">
        <w:t xml:space="preserve">Responsibilities of the co-chairs include: </w:t>
      </w:r>
    </w:p>
    <w:p w14:paraId="2BB14558" w14:textId="191434B1" w:rsidR="00FD17E1" w:rsidRPr="00FD17E1" w:rsidRDefault="00E156F5" w:rsidP="00FD17E1">
      <w:pPr>
        <w:pStyle w:val="Bullet1"/>
      </w:pPr>
      <w:r>
        <w:t>c</w:t>
      </w:r>
      <w:r w:rsidR="00FD17E1" w:rsidRPr="00FD17E1">
        <w:t>hairing meetings</w:t>
      </w:r>
    </w:p>
    <w:p w14:paraId="4ABDFE8F" w14:textId="357126D1" w:rsidR="00FD17E1" w:rsidRPr="00FD17E1" w:rsidRDefault="00E156F5" w:rsidP="00FD17E1">
      <w:pPr>
        <w:pStyle w:val="Bullet1"/>
      </w:pPr>
      <w:r>
        <w:t>s</w:t>
      </w:r>
      <w:r w:rsidR="00FD17E1" w:rsidRPr="00FD17E1">
        <w:t xml:space="preserve">upporting the formation of the taskforce </w:t>
      </w:r>
    </w:p>
    <w:p w14:paraId="75DB99A0" w14:textId="5D74B44D" w:rsidR="00FD17E1" w:rsidRPr="00FD17E1" w:rsidRDefault="00E156F5" w:rsidP="00FD17E1">
      <w:pPr>
        <w:pStyle w:val="Bullet1"/>
      </w:pPr>
      <w:r>
        <w:t>s</w:t>
      </w:r>
      <w:r w:rsidR="00FD17E1" w:rsidRPr="00FD17E1">
        <w:t>etting priorities for the taskforce</w:t>
      </w:r>
    </w:p>
    <w:p w14:paraId="04A17BA0" w14:textId="6A6CC3A2" w:rsidR="00FD17E1" w:rsidRPr="00FD17E1" w:rsidRDefault="00E156F5" w:rsidP="00FD17E1">
      <w:pPr>
        <w:pStyle w:val="Bullet1"/>
      </w:pPr>
      <w:r>
        <w:t>t</w:t>
      </w:r>
      <w:r w:rsidR="00FD17E1" w:rsidRPr="00FD17E1">
        <w:t>aking advice from the members of the taskforce</w:t>
      </w:r>
    </w:p>
    <w:p w14:paraId="42105D33" w14:textId="699A0E3E" w:rsidR="00FD17E1" w:rsidRPr="00FD17E1" w:rsidRDefault="00E156F5" w:rsidP="00FD17E1">
      <w:pPr>
        <w:pStyle w:val="Bullet1"/>
      </w:pPr>
      <w:r>
        <w:t>s</w:t>
      </w:r>
      <w:r w:rsidR="00FD17E1" w:rsidRPr="00FD17E1">
        <w:t>upporting the mitigation of risks for complex policy issues.</w:t>
      </w:r>
    </w:p>
    <w:p w14:paraId="2E9F6804" w14:textId="566F34EF" w:rsidR="00FD17E1" w:rsidRDefault="00FD17E1" w:rsidP="00FD17E1">
      <w:pPr>
        <w:pStyle w:val="Bodyafterbullets"/>
      </w:pPr>
      <w:r w:rsidRPr="00FD17E1">
        <w:t xml:space="preserve">The co-chairs may invite an individual to attend, observe, and/or submit advice at a meeting. They may also arrange workshops for sub-groups or the </w:t>
      </w:r>
      <w:r w:rsidR="00392461">
        <w:t xml:space="preserve">whole </w:t>
      </w:r>
      <w:r w:rsidRPr="00FD17E1">
        <w:t>taskforce, to resolve complex issues on an as needs basis.</w:t>
      </w:r>
    </w:p>
    <w:p w14:paraId="433BD262" w14:textId="034EA718" w:rsidR="00FD17E1" w:rsidRPr="00FD17E1" w:rsidRDefault="00FD17E1" w:rsidP="00FD17E1">
      <w:pPr>
        <w:pStyle w:val="Body"/>
      </w:pPr>
      <w:r w:rsidRPr="00FD17E1">
        <w:t>Co-chairs will report directly to the Minister for Children and Minister for Disability.</w:t>
      </w:r>
    </w:p>
    <w:p w14:paraId="5CB4099C" w14:textId="5023F421" w:rsidR="00FD17E1" w:rsidRDefault="00FD17E1" w:rsidP="00FD17E1">
      <w:pPr>
        <w:pStyle w:val="Heading1"/>
      </w:pPr>
      <w:bookmarkStart w:id="11" w:name="_Toc156988365"/>
      <w:r>
        <w:t>Membership</w:t>
      </w:r>
      <w:bookmarkEnd w:id="11"/>
    </w:p>
    <w:p w14:paraId="110EA91D" w14:textId="7B6CF744" w:rsidR="00FD17E1" w:rsidRPr="00FD17E1" w:rsidRDefault="00FD17E1" w:rsidP="00FD17E1">
      <w:pPr>
        <w:pStyle w:val="Body"/>
      </w:pPr>
      <w:bookmarkStart w:id="12" w:name="_Hlk156306145"/>
      <w:r w:rsidRPr="00FD17E1">
        <w:t>Members of the taskforce will comprise social service advocates, representatives of providers of social services, a</w:t>
      </w:r>
      <w:r w:rsidR="005F2A1C">
        <w:t xml:space="preserve"> First Nations</w:t>
      </w:r>
      <w:r w:rsidRPr="00FD17E1">
        <w:t xml:space="preserve"> </w:t>
      </w:r>
      <w:proofErr w:type="gramStart"/>
      <w:r w:rsidRPr="00FD17E1">
        <w:t>representative</w:t>
      </w:r>
      <w:proofErr w:type="gramEnd"/>
      <w:r w:rsidRPr="00FD17E1">
        <w:t xml:space="preserve"> and a person with regulatory expertise. </w:t>
      </w:r>
    </w:p>
    <w:bookmarkEnd w:id="12"/>
    <w:p w14:paraId="7A7A71FB" w14:textId="1F2B13D9" w:rsidR="00FD17E1" w:rsidRPr="00FD17E1" w:rsidRDefault="00FD17E1" w:rsidP="00FD17E1">
      <w:pPr>
        <w:pStyle w:val="Body"/>
      </w:pPr>
      <w:r w:rsidRPr="00FD17E1">
        <w:t>The Minister</w:t>
      </w:r>
      <w:r w:rsidR="00A37A4C">
        <w:t xml:space="preserve"> for Children and </w:t>
      </w:r>
      <w:r w:rsidR="0082242C">
        <w:t xml:space="preserve">Minister for </w:t>
      </w:r>
      <w:r w:rsidR="00A37A4C">
        <w:t>Disability</w:t>
      </w:r>
      <w:r w:rsidRPr="00FD17E1">
        <w:t xml:space="preserve"> will approve the membership of the taskforce and any proposed changes to the membership.</w:t>
      </w:r>
    </w:p>
    <w:p w14:paraId="74AE729F" w14:textId="2B872295" w:rsidR="00877BE7" w:rsidRDefault="00FD17E1" w:rsidP="00BC54FA">
      <w:pPr>
        <w:pStyle w:val="Body"/>
      </w:pPr>
      <w:r w:rsidRPr="00FD17E1">
        <w:t>Members must act in accordance with</w:t>
      </w:r>
      <w:r w:rsidR="00BC54FA">
        <w:t xml:space="preserve"> their</w:t>
      </w:r>
      <w:r w:rsidR="00877BE7">
        <w:t>:</w:t>
      </w:r>
    </w:p>
    <w:p w14:paraId="1C87A4B5" w14:textId="7A0A9B32" w:rsidR="00BC54FA" w:rsidRDefault="00FD17E1" w:rsidP="00573802">
      <w:pPr>
        <w:pStyle w:val="Bullet2"/>
      </w:pPr>
      <w:r w:rsidRPr="00FD17E1">
        <w:t>employment codes of conduct</w:t>
      </w:r>
      <w:r w:rsidR="00675E85">
        <w:t xml:space="preserve">, </w:t>
      </w:r>
      <w:r w:rsidRPr="00FD17E1">
        <w:t xml:space="preserve">legal </w:t>
      </w:r>
      <w:proofErr w:type="gramStart"/>
      <w:r w:rsidRPr="00FD17E1">
        <w:t>requirements</w:t>
      </w:r>
      <w:proofErr w:type="gramEnd"/>
      <w:r w:rsidR="00675E85">
        <w:t xml:space="preserve"> and </w:t>
      </w:r>
      <w:r w:rsidRPr="00FD17E1">
        <w:t>ethical standards</w:t>
      </w:r>
    </w:p>
    <w:p w14:paraId="4673B015" w14:textId="03F0BE16" w:rsidR="00FD17E1" w:rsidRPr="00FD17E1" w:rsidRDefault="00FD17E1" w:rsidP="00573802">
      <w:pPr>
        <w:pStyle w:val="Bullet2"/>
      </w:pPr>
      <w:r w:rsidRPr="00FD17E1">
        <w:lastRenderedPageBreak/>
        <w:t xml:space="preserve">declaration of conflict of interest. </w:t>
      </w:r>
    </w:p>
    <w:p w14:paraId="5F36DFE2" w14:textId="45B8FB47" w:rsidR="00FD17E1" w:rsidRPr="00FD17E1" w:rsidRDefault="00FD17E1" w:rsidP="00573802">
      <w:pPr>
        <w:pStyle w:val="Bodyafterbullets"/>
      </w:pPr>
      <w:r w:rsidRPr="00FD17E1">
        <w:t xml:space="preserve">Members will endeavour to read and consider all circulated papers </w:t>
      </w:r>
      <w:r w:rsidR="005855F2">
        <w:t>before</w:t>
      </w:r>
      <w:r w:rsidRPr="00FD17E1">
        <w:t xml:space="preserve"> discussion at the meeting. </w:t>
      </w:r>
    </w:p>
    <w:p w14:paraId="5737BB2A" w14:textId="082124A8" w:rsidR="00FD17E1" w:rsidRPr="00FD17E1" w:rsidRDefault="00FD17E1" w:rsidP="00FD17E1">
      <w:pPr>
        <w:pStyle w:val="Body"/>
      </w:pPr>
      <w:r w:rsidRPr="00FD17E1">
        <w:t>Where a member representing an organisation is unable to attend a taskforce meeting, they may nominate a delegate from their organisation to attend</w:t>
      </w:r>
      <w:r w:rsidR="005855F2">
        <w:t xml:space="preserve">. They must </w:t>
      </w:r>
      <w:r w:rsidR="00B95114">
        <w:t>inform the</w:t>
      </w:r>
      <w:r w:rsidRPr="00FD17E1">
        <w:t xml:space="preserve"> secretariat and co-chairs in advance and </w:t>
      </w:r>
      <w:r w:rsidR="00A54D2A">
        <w:t xml:space="preserve">ensure the delegate can </w:t>
      </w:r>
      <w:r w:rsidRPr="00FD17E1">
        <w:t>fully consider and discuss</w:t>
      </w:r>
      <w:r w:rsidR="00E76737">
        <w:t xml:space="preserve"> the taskforce issue</w:t>
      </w:r>
      <w:r w:rsidRPr="00FD17E1">
        <w:t>. Members invited in their personal capacity cannot delegate attendance to an alternative party.</w:t>
      </w:r>
    </w:p>
    <w:p w14:paraId="4AE2D25D" w14:textId="7A8800CB" w:rsidR="00FD17E1" w:rsidRPr="00FD17E1" w:rsidRDefault="00FD17E1" w:rsidP="00FD17E1">
      <w:pPr>
        <w:pStyle w:val="Body"/>
        <w:rPr>
          <w:b/>
        </w:rPr>
      </w:pPr>
      <w:r w:rsidRPr="00FD17E1">
        <w:t xml:space="preserve">The membership of the </w:t>
      </w:r>
      <w:r>
        <w:t>t</w:t>
      </w:r>
      <w:r w:rsidRPr="00FD17E1">
        <w:t xml:space="preserve">askforce is at </w:t>
      </w:r>
      <w:hyperlink w:anchor="_Attachment_1:" w:history="1">
        <w:r w:rsidRPr="001A2AB8">
          <w:rPr>
            <w:rStyle w:val="Hyperlink"/>
            <w:b/>
            <w:bCs/>
          </w:rPr>
          <w:t>Attachment 1</w:t>
        </w:r>
      </w:hyperlink>
      <w:r w:rsidRPr="00FD17E1">
        <w:rPr>
          <w:b/>
          <w:bCs/>
        </w:rPr>
        <w:t>.</w:t>
      </w:r>
    </w:p>
    <w:p w14:paraId="7AAD284D" w14:textId="2F6F3FA7" w:rsidR="00FD17E1" w:rsidRDefault="00FD17E1" w:rsidP="00FD17E1">
      <w:pPr>
        <w:pStyle w:val="Body"/>
      </w:pPr>
      <w:r w:rsidRPr="00FD17E1">
        <w:t xml:space="preserve">A </w:t>
      </w:r>
      <w:r w:rsidR="005855F2">
        <w:t>s</w:t>
      </w:r>
      <w:r w:rsidRPr="00FD17E1">
        <w:t xml:space="preserve">enior </w:t>
      </w:r>
      <w:r w:rsidR="005855F2">
        <w:t>a</w:t>
      </w:r>
      <w:r w:rsidRPr="00FD17E1">
        <w:t>dvisor from the office of the Minister for Children and Minister for Disability will also attend in an observer capacity.</w:t>
      </w:r>
    </w:p>
    <w:p w14:paraId="0371024F" w14:textId="77777777" w:rsidR="008A494F" w:rsidRDefault="008A494F" w:rsidP="00573802">
      <w:pPr>
        <w:pStyle w:val="Body"/>
      </w:pPr>
      <w:r>
        <w:t>The structure of the taskforce, and relationships between the taskforce and the department are reflected below.</w:t>
      </w:r>
    </w:p>
    <w:p w14:paraId="5412F0CD" w14:textId="737DE8A6" w:rsidR="008A494F" w:rsidRPr="00FD17E1" w:rsidRDefault="00621BAC" w:rsidP="00FD17E1">
      <w:pPr>
        <w:pStyle w:val="Body"/>
      </w:pPr>
      <w:r w:rsidRPr="00621BAC">
        <w:rPr>
          <w:noProof/>
        </w:rPr>
        <w:drawing>
          <wp:inline distT="0" distB="0" distL="0" distR="0" wp14:anchorId="2B45058D" wp14:editId="71E4D9A1">
            <wp:extent cx="5734050" cy="2736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8805" w14:textId="77777777" w:rsidR="00FD17E1" w:rsidRPr="00FD17E1" w:rsidRDefault="00FD17E1" w:rsidP="00FD17E1">
      <w:pPr>
        <w:pStyle w:val="Heading1"/>
      </w:pPr>
      <w:bookmarkStart w:id="13" w:name="_Toc156988366"/>
      <w:r w:rsidRPr="00FD17E1">
        <w:t>Remuneration</w:t>
      </w:r>
      <w:bookmarkEnd w:id="13"/>
    </w:p>
    <w:p w14:paraId="509DFBCF" w14:textId="04B7F157" w:rsidR="00FD17E1" w:rsidRPr="00FD17E1" w:rsidDel="00C67A5D" w:rsidRDefault="00FD17E1" w:rsidP="00FD17E1">
      <w:pPr>
        <w:pStyle w:val="Body"/>
      </w:pPr>
      <w:r w:rsidRPr="00FD17E1">
        <w:t xml:space="preserve">The Minister’s representative and any attendee who is a member of the Victorian Government or Victorian Public Service </w:t>
      </w:r>
      <w:r w:rsidR="00E20455">
        <w:t>is</w:t>
      </w:r>
      <w:r w:rsidR="00E20455" w:rsidRPr="00FD17E1">
        <w:t xml:space="preserve"> </w:t>
      </w:r>
      <w:r w:rsidRPr="00FD17E1">
        <w:t xml:space="preserve">generally not entitled to receive any salary or fee </w:t>
      </w:r>
      <w:r w:rsidR="00762C1D">
        <w:t>for</w:t>
      </w:r>
      <w:r w:rsidRPr="00FD17E1">
        <w:t xml:space="preserve"> their membership on the </w:t>
      </w:r>
      <w:r>
        <w:t>t</w:t>
      </w:r>
      <w:r w:rsidRPr="00FD17E1">
        <w:t>askforce.</w:t>
      </w:r>
    </w:p>
    <w:p w14:paraId="57D225CA" w14:textId="1FB23FF8" w:rsidR="00FD17E1" w:rsidRPr="00FD17E1" w:rsidRDefault="00FD17E1" w:rsidP="00FD17E1">
      <w:pPr>
        <w:pStyle w:val="Body"/>
      </w:pPr>
      <w:r w:rsidRPr="00FD17E1">
        <w:t xml:space="preserve">The independent co-chair and standing committee members will </w:t>
      </w:r>
      <w:r w:rsidR="00E20455">
        <w:t>receive</w:t>
      </w:r>
      <w:r w:rsidRPr="00FD17E1">
        <w:t xml:space="preserve"> sitting fees</w:t>
      </w:r>
      <w:r w:rsidR="00E20455">
        <w:t>. These will be</w:t>
      </w:r>
      <w:r w:rsidRPr="00FD17E1">
        <w:t xml:space="preserve"> broadly in line with the Victorian Government’s Appointment remuneration guidelines.</w:t>
      </w:r>
    </w:p>
    <w:p w14:paraId="6D118A9E" w14:textId="144CCAC3" w:rsidR="00FD17E1" w:rsidRPr="00FD17E1" w:rsidRDefault="00FD17E1" w:rsidP="00573802">
      <w:pPr>
        <w:pStyle w:val="Heading1"/>
      </w:pPr>
      <w:bookmarkStart w:id="14" w:name="_Toc156988367"/>
      <w:r w:rsidRPr="00FD17E1">
        <w:t xml:space="preserve">Term of the </w:t>
      </w:r>
      <w:r>
        <w:t>t</w:t>
      </w:r>
      <w:r w:rsidRPr="00FD17E1">
        <w:t>askforce and meeting frequency</w:t>
      </w:r>
      <w:bookmarkEnd w:id="14"/>
    </w:p>
    <w:p w14:paraId="54FFCE67" w14:textId="11312B54" w:rsidR="00FD17E1" w:rsidRPr="00FD17E1" w:rsidRDefault="00FD17E1" w:rsidP="00FD17E1">
      <w:pPr>
        <w:pStyle w:val="Body"/>
      </w:pPr>
      <w:r w:rsidRPr="00877511">
        <w:t xml:space="preserve">The taskforce will operate until </w:t>
      </w:r>
      <w:r w:rsidR="002E7018" w:rsidRPr="00877511">
        <w:t xml:space="preserve">30 June </w:t>
      </w:r>
      <w:r w:rsidRPr="00877511">
        <w:t>2024, unless dissolved earlier by the department or the Ministe</w:t>
      </w:r>
      <w:r w:rsidR="0082242C" w:rsidRPr="00877511">
        <w:t>r for Children and Minister for Disability.</w:t>
      </w:r>
      <w:r w:rsidR="0082242C">
        <w:t xml:space="preserve"> </w:t>
      </w:r>
      <w:r w:rsidRPr="00FD17E1">
        <w:t xml:space="preserve"> </w:t>
      </w:r>
    </w:p>
    <w:p w14:paraId="5619C1BB" w14:textId="0C99CAA4" w:rsidR="007671EC" w:rsidRDefault="00FD17E1" w:rsidP="00FD17E1">
      <w:pPr>
        <w:pStyle w:val="Body"/>
      </w:pPr>
      <w:r w:rsidRPr="00FD17E1">
        <w:t xml:space="preserve">At the end of </w:t>
      </w:r>
      <w:r w:rsidR="007671EC">
        <w:t>the taskforce’s</w:t>
      </w:r>
      <w:r w:rsidR="007671EC" w:rsidRPr="00FD17E1">
        <w:t xml:space="preserve"> </w:t>
      </w:r>
      <w:r w:rsidRPr="00FD17E1">
        <w:t>term,</w:t>
      </w:r>
      <w:r>
        <w:t xml:space="preserve"> the department will</w:t>
      </w:r>
      <w:r w:rsidR="007671EC">
        <w:t>:</w:t>
      </w:r>
    </w:p>
    <w:p w14:paraId="0E909B00" w14:textId="4AA8A283" w:rsidR="007671EC" w:rsidRDefault="00FD17E1" w:rsidP="00573802">
      <w:pPr>
        <w:pStyle w:val="Bullet1"/>
      </w:pPr>
      <w:r>
        <w:t>assess</w:t>
      </w:r>
      <w:r w:rsidRPr="00FD17E1">
        <w:t xml:space="preserve"> the utility of extending the duration of the taskforce in consultation with the </w:t>
      </w:r>
      <w:proofErr w:type="gramStart"/>
      <w:r w:rsidRPr="00FD17E1">
        <w:t>taskforce</w:t>
      </w:r>
      <w:proofErr w:type="gramEnd"/>
    </w:p>
    <w:p w14:paraId="749E1AC2" w14:textId="60FDDADE" w:rsidR="00FD17E1" w:rsidRPr="00FD17E1" w:rsidRDefault="00FD17E1" w:rsidP="00573802">
      <w:pPr>
        <w:pStyle w:val="Bullet1"/>
      </w:pPr>
      <w:r w:rsidRPr="00FD17E1">
        <w:t xml:space="preserve">determine whether </w:t>
      </w:r>
      <w:r w:rsidR="00D5315E">
        <w:t xml:space="preserve">to extend </w:t>
      </w:r>
      <w:r w:rsidRPr="00FD17E1">
        <w:t xml:space="preserve">the term of the existing membership or whether </w:t>
      </w:r>
      <w:r w:rsidR="00D5315E">
        <w:t xml:space="preserve">to </w:t>
      </w:r>
      <w:r w:rsidR="00F93DB3">
        <w:t xml:space="preserve">include </w:t>
      </w:r>
      <w:r w:rsidRPr="00FD17E1">
        <w:t xml:space="preserve">different or </w:t>
      </w:r>
      <w:r w:rsidR="00BC74A9">
        <w:t>extra</w:t>
      </w:r>
      <w:r w:rsidR="00BC74A9" w:rsidRPr="00FD17E1">
        <w:t xml:space="preserve"> </w:t>
      </w:r>
      <w:r w:rsidRPr="00FD17E1">
        <w:t>members. </w:t>
      </w:r>
    </w:p>
    <w:p w14:paraId="70758068" w14:textId="77777777" w:rsidR="00FD17E1" w:rsidRPr="00FD17E1" w:rsidRDefault="00FD17E1" w:rsidP="00573802">
      <w:pPr>
        <w:pStyle w:val="Bodyafterbullets"/>
      </w:pPr>
      <w:r w:rsidRPr="00FD17E1">
        <w:t>The taskforce may conduct business in or out of session. </w:t>
      </w:r>
    </w:p>
    <w:p w14:paraId="0E596976" w14:textId="55478528" w:rsidR="00FD17E1" w:rsidRDefault="00FD7C6A" w:rsidP="00FD7C6A">
      <w:pPr>
        <w:pStyle w:val="Heading1"/>
      </w:pPr>
      <w:bookmarkStart w:id="15" w:name="_Toc156988368"/>
      <w:r>
        <w:lastRenderedPageBreak/>
        <w:t>Confidentiality</w:t>
      </w:r>
      <w:bookmarkEnd w:id="15"/>
      <w:r>
        <w:t xml:space="preserve"> </w:t>
      </w:r>
    </w:p>
    <w:p w14:paraId="1DA64816" w14:textId="59069400" w:rsidR="00FD7C6A" w:rsidRPr="00FD7C6A" w:rsidRDefault="00FD7C6A" w:rsidP="00FD7C6A">
      <w:pPr>
        <w:pStyle w:val="Body"/>
      </w:pPr>
      <w:r w:rsidRPr="00FD7C6A">
        <w:t>Unless</w:t>
      </w:r>
      <w:r w:rsidR="00FE0003">
        <w:t xml:space="preserve"> the co-chairs advise</w:t>
      </w:r>
      <w:r w:rsidRPr="00FD7C6A">
        <w:t xml:space="preserve"> otherwise</w:t>
      </w:r>
      <w:r w:rsidR="00570FA2">
        <w:t>,</w:t>
      </w:r>
      <w:r w:rsidRPr="00FD7C6A">
        <w:t xml:space="preserve"> matters </w:t>
      </w:r>
      <w:proofErr w:type="gramStart"/>
      <w:r w:rsidRPr="00FD7C6A">
        <w:t>discussed</w:t>
      </w:r>
      <w:proofErr w:type="gramEnd"/>
      <w:r w:rsidRPr="00FD7C6A">
        <w:t xml:space="preserve"> and materials prepared for the taskforce </w:t>
      </w:r>
      <w:r w:rsidR="00570FA2">
        <w:t>are not</w:t>
      </w:r>
      <w:r w:rsidRPr="00FD7C6A">
        <w:t xml:space="preserve"> confidential</w:t>
      </w:r>
      <w:r w:rsidR="00E102EC">
        <w:t>. Th</w:t>
      </w:r>
      <w:r w:rsidR="00570FA2">
        <w:t>e taskforce can discuss thes</w:t>
      </w:r>
      <w:r w:rsidR="00E102EC">
        <w:t>e matters</w:t>
      </w:r>
      <w:r w:rsidRPr="00FD7C6A">
        <w:t xml:space="preserve"> with the social services sector to inform the taskforce’s deliberations and consultations with the sector.</w:t>
      </w:r>
    </w:p>
    <w:p w14:paraId="0F28346F" w14:textId="06A03B4F" w:rsidR="00FD7C6A" w:rsidRPr="00FD7C6A" w:rsidRDefault="00157A34" w:rsidP="00FD7C6A">
      <w:pPr>
        <w:pStyle w:val="Body"/>
      </w:pPr>
      <w:r>
        <w:t xml:space="preserve">The </w:t>
      </w:r>
      <w:r w:rsidR="0072148E">
        <w:t>secretariat must maintain t</w:t>
      </w:r>
      <w:r w:rsidR="00FD7C6A" w:rsidRPr="00FD7C6A">
        <w:t>he records of the taskforce and other documents provided to, or prepared by, or for the purposes of, the taskforce</w:t>
      </w:r>
      <w:r w:rsidR="00F254D8">
        <w:t xml:space="preserve"> </w:t>
      </w:r>
      <w:r w:rsidR="00B2633C">
        <w:t>in accordance with</w:t>
      </w:r>
      <w:r w:rsidR="00FD7C6A" w:rsidRPr="00FD7C6A">
        <w:t xml:space="preserve"> the </w:t>
      </w:r>
      <w:r w:rsidR="00FD7C6A" w:rsidRPr="00573802">
        <w:rPr>
          <w:i/>
          <w:iCs/>
        </w:rPr>
        <w:t>Freedom of Information Act 1982</w:t>
      </w:r>
      <w:r w:rsidR="00FD7C6A" w:rsidRPr="00FD7C6A">
        <w:t xml:space="preserve"> (Vic).</w:t>
      </w:r>
      <w:r w:rsidR="00397280">
        <w:t xml:space="preserve"> F</w:t>
      </w:r>
      <w:r w:rsidR="00397280" w:rsidRPr="00FD7C6A">
        <w:t>or example, correspondence to and from members in relation to the work of the taskforce</w:t>
      </w:r>
      <w:r w:rsidR="00397280">
        <w:t>.</w:t>
      </w:r>
    </w:p>
    <w:p w14:paraId="147041E5" w14:textId="4C1005EA" w:rsidR="00FD7C6A" w:rsidRPr="00FD7C6A" w:rsidRDefault="00FD7C6A" w:rsidP="00FD7C6A">
      <w:pPr>
        <w:pStyle w:val="Body"/>
      </w:pPr>
      <w:r w:rsidRPr="00FD7C6A">
        <w:t xml:space="preserve">The co-chairs and secretariat </w:t>
      </w:r>
      <w:r w:rsidR="00397280">
        <w:t>must</w:t>
      </w:r>
      <w:r w:rsidR="00397280" w:rsidRPr="00FD7C6A">
        <w:t xml:space="preserve"> </w:t>
      </w:r>
      <w:r w:rsidRPr="00FD7C6A">
        <w:t xml:space="preserve">handle personal information in accordance with the </w:t>
      </w:r>
      <w:r w:rsidRPr="00573802">
        <w:rPr>
          <w:i/>
          <w:iCs/>
        </w:rPr>
        <w:t>Privacy and Data Protection Act 2014</w:t>
      </w:r>
      <w:r w:rsidRPr="00FD7C6A">
        <w:t xml:space="preserve"> (Vic).</w:t>
      </w:r>
    </w:p>
    <w:p w14:paraId="33CC2C12" w14:textId="66EDA68D" w:rsidR="00FD7C6A" w:rsidRDefault="00FD7C6A" w:rsidP="00FD7C6A">
      <w:pPr>
        <w:pStyle w:val="Heading1"/>
      </w:pPr>
      <w:bookmarkStart w:id="16" w:name="_Toc156988369"/>
      <w:r>
        <w:t>Termination</w:t>
      </w:r>
      <w:bookmarkEnd w:id="16"/>
    </w:p>
    <w:p w14:paraId="57C014FA" w14:textId="2B1E5DED" w:rsidR="00FD7C6A" w:rsidRPr="00FD7C6A" w:rsidRDefault="00FD7C6A" w:rsidP="00FD7C6A">
      <w:pPr>
        <w:pStyle w:val="Body"/>
      </w:pPr>
      <w:r w:rsidRPr="00FD7C6A">
        <w:t>The co-chairs can remove invited members from the taskforce meetings for any reason. The Minister</w:t>
      </w:r>
      <w:r w:rsidR="0082242C">
        <w:t xml:space="preserve"> for Children and Minister for Disability</w:t>
      </w:r>
      <w:r w:rsidRPr="00FD7C6A">
        <w:t xml:space="preserve"> can remove the co-chairs for any reason.</w:t>
      </w:r>
    </w:p>
    <w:p w14:paraId="461B6589" w14:textId="1DBFAF09" w:rsidR="00FD7C6A" w:rsidRDefault="00FD7C6A" w:rsidP="00FD7C6A">
      <w:pPr>
        <w:pStyle w:val="Heading1"/>
      </w:pPr>
      <w:bookmarkStart w:id="17" w:name="_Toc156988370"/>
      <w:r>
        <w:t xml:space="preserve">Media </w:t>
      </w:r>
      <w:r w:rsidR="001A2AB8">
        <w:t>e</w:t>
      </w:r>
      <w:r>
        <w:t>nquiries</w:t>
      </w:r>
      <w:bookmarkEnd w:id="17"/>
      <w:r>
        <w:t xml:space="preserve"> </w:t>
      </w:r>
    </w:p>
    <w:p w14:paraId="1ED9C28E" w14:textId="1753CB62" w:rsidR="00FD7C6A" w:rsidRPr="00FD7C6A" w:rsidRDefault="00FD7C6A" w:rsidP="00FD7C6A">
      <w:pPr>
        <w:pStyle w:val="Body"/>
      </w:pPr>
      <w:r w:rsidRPr="00FD7C6A">
        <w:t xml:space="preserve">Members should refer all media enquiries and public speaking requests </w:t>
      </w:r>
      <w:r w:rsidR="004C2A63">
        <w:t>about</w:t>
      </w:r>
      <w:r w:rsidR="004C2A63" w:rsidRPr="00FD7C6A">
        <w:t xml:space="preserve"> </w:t>
      </w:r>
      <w:r w:rsidRPr="00FD7C6A">
        <w:t>the taskforce to the secretariat in the first instance.</w:t>
      </w:r>
    </w:p>
    <w:p w14:paraId="23098BFE" w14:textId="2838A11C" w:rsidR="00FD7C6A" w:rsidRPr="00FD7C6A" w:rsidRDefault="00BB5053" w:rsidP="00FD7C6A">
      <w:pPr>
        <w:pStyle w:val="Body"/>
      </w:pPr>
      <w:r>
        <w:t>Members can only make c</w:t>
      </w:r>
      <w:r w:rsidR="00FD7C6A" w:rsidRPr="00FD7C6A">
        <w:t xml:space="preserve">omments to the media and </w:t>
      </w:r>
      <w:r w:rsidR="00FB4246">
        <w:t xml:space="preserve">undertake </w:t>
      </w:r>
      <w:r w:rsidR="00FD7C6A" w:rsidRPr="00FD7C6A">
        <w:t xml:space="preserve">speaking engagements (in an official capacity) after approval by the department. </w:t>
      </w:r>
    </w:p>
    <w:p w14:paraId="6C55EAA0" w14:textId="169B8C64" w:rsidR="00FD7C6A" w:rsidRDefault="00FD7C6A">
      <w:pPr>
        <w:spacing w:after="0" w:line="240" w:lineRule="auto"/>
        <w:rPr>
          <w:rFonts w:eastAsia="Times"/>
        </w:rPr>
      </w:pPr>
      <w:r>
        <w:br w:type="page"/>
      </w:r>
    </w:p>
    <w:p w14:paraId="6865959E" w14:textId="4358C870" w:rsidR="00FD7C6A" w:rsidRDefault="00FD7C6A" w:rsidP="00FD7C6A">
      <w:pPr>
        <w:pStyle w:val="Heading1"/>
      </w:pPr>
      <w:bookmarkStart w:id="18" w:name="_Attachment_1:"/>
      <w:bookmarkStart w:id="19" w:name="_Toc156988371"/>
      <w:bookmarkEnd w:id="18"/>
      <w:r>
        <w:lastRenderedPageBreak/>
        <w:t>Attachment 1:</w:t>
      </w:r>
      <w:bookmarkEnd w:id="19"/>
    </w:p>
    <w:p w14:paraId="400E4F66" w14:textId="1F898245" w:rsidR="00FD7C6A" w:rsidRPr="00FD7C6A" w:rsidRDefault="00FD7C6A" w:rsidP="00573802">
      <w:pPr>
        <w:pStyle w:val="Heading2"/>
      </w:pPr>
      <w:bookmarkStart w:id="20" w:name="_Toc156988372"/>
      <w:r w:rsidRPr="00FD7C6A">
        <w:t xml:space="preserve">Membership of </w:t>
      </w:r>
      <w:r>
        <w:t>the t</w:t>
      </w:r>
      <w:r w:rsidRPr="00FD7C6A">
        <w:t>askforce</w:t>
      </w:r>
      <w:bookmarkEnd w:id="20"/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7671"/>
      </w:tblGrid>
      <w:tr w:rsidR="00FD7C6A" w:rsidRPr="00226750" w14:paraId="530AD42C" w14:textId="77777777" w:rsidTr="00573802">
        <w:trPr>
          <w:tblHeader/>
        </w:trPr>
        <w:tc>
          <w:tcPr>
            <w:tcW w:w="2535" w:type="dxa"/>
            <w:shd w:val="clear" w:color="auto" w:fill="auto"/>
          </w:tcPr>
          <w:p w14:paraId="5618B131" w14:textId="77777777" w:rsidR="00FD7C6A" w:rsidRDefault="00FD7C6A" w:rsidP="00C31CC4">
            <w:pPr>
              <w:pStyle w:val="Tablecolhead"/>
            </w:pPr>
            <w:r>
              <w:t>Member</w:t>
            </w:r>
          </w:p>
        </w:tc>
        <w:tc>
          <w:tcPr>
            <w:tcW w:w="7671" w:type="dxa"/>
            <w:shd w:val="clear" w:color="auto" w:fill="auto"/>
          </w:tcPr>
          <w:p w14:paraId="0C527979" w14:textId="79575566" w:rsidR="00FD7C6A" w:rsidRDefault="00FD7C6A" w:rsidP="00C31CC4">
            <w:pPr>
              <w:pStyle w:val="Tablecolhead"/>
            </w:pPr>
            <w:r>
              <w:t>Organisation</w:t>
            </w:r>
          </w:p>
        </w:tc>
      </w:tr>
      <w:tr w:rsidR="00FD7C6A" w:rsidRPr="00226750" w14:paraId="1DC7A221" w14:textId="77777777" w:rsidTr="00573802">
        <w:tc>
          <w:tcPr>
            <w:tcW w:w="2535" w:type="dxa"/>
            <w:shd w:val="clear" w:color="auto" w:fill="auto"/>
          </w:tcPr>
          <w:p w14:paraId="617A852F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Iwan Walters</w:t>
            </w:r>
          </w:p>
        </w:tc>
        <w:tc>
          <w:tcPr>
            <w:tcW w:w="7671" w:type="dxa"/>
            <w:shd w:val="clear" w:color="auto" w:fill="auto"/>
          </w:tcPr>
          <w:p w14:paraId="388DB541" w14:textId="77777777" w:rsidR="003973FB" w:rsidRDefault="00F51941" w:rsidP="00573802">
            <w:pPr>
              <w:pStyle w:val="Tabletext"/>
            </w:pPr>
            <w:r>
              <w:t xml:space="preserve">Parliamentary Secretary for Disability, </w:t>
            </w:r>
          </w:p>
          <w:p w14:paraId="345436D0" w14:textId="31878F35" w:rsidR="00FD7C6A" w:rsidRDefault="00FD7C6A" w:rsidP="00573802">
            <w:pPr>
              <w:pStyle w:val="Tabletext"/>
            </w:pPr>
            <w:r>
              <w:t>Government Co-Chair Social Services Regulation Taskforce</w:t>
            </w:r>
          </w:p>
        </w:tc>
      </w:tr>
      <w:tr w:rsidR="00FD7C6A" w:rsidRPr="00226750" w14:paraId="2C8F912B" w14:textId="77777777" w:rsidTr="00573802">
        <w:tc>
          <w:tcPr>
            <w:tcW w:w="2535" w:type="dxa"/>
            <w:shd w:val="clear" w:color="auto" w:fill="auto"/>
          </w:tcPr>
          <w:p w14:paraId="0EA39A4B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Susan Pascoe AM</w:t>
            </w:r>
          </w:p>
        </w:tc>
        <w:tc>
          <w:tcPr>
            <w:tcW w:w="7671" w:type="dxa"/>
            <w:shd w:val="clear" w:color="auto" w:fill="auto"/>
          </w:tcPr>
          <w:p w14:paraId="3562DB9B" w14:textId="77777777" w:rsidR="00FD7C6A" w:rsidRDefault="00FD7C6A" w:rsidP="00573802">
            <w:pPr>
              <w:pStyle w:val="Tabletext"/>
            </w:pPr>
            <w:r w:rsidRPr="00226750">
              <w:t xml:space="preserve">Independent </w:t>
            </w:r>
            <w:r>
              <w:t>Co-C</w:t>
            </w:r>
            <w:r w:rsidRPr="00226750">
              <w:t>hair Social Services Regulation Taskforce</w:t>
            </w:r>
          </w:p>
        </w:tc>
      </w:tr>
      <w:tr w:rsidR="00FD7C6A" w:rsidRPr="00226750" w14:paraId="1537EAAE" w14:textId="77777777" w:rsidTr="00573802">
        <w:tc>
          <w:tcPr>
            <w:tcW w:w="2535" w:type="dxa"/>
            <w:shd w:val="clear" w:color="auto" w:fill="auto"/>
          </w:tcPr>
          <w:p w14:paraId="1AC0D984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Tania Farha</w:t>
            </w:r>
          </w:p>
        </w:tc>
        <w:tc>
          <w:tcPr>
            <w:tcW w:w="7671" w:type="dxa"/>
            <w:shd w:val="clear" w:color="auto" w:fill="auto"/>
            <w:hideMark/>
          </w:tcPr>
          <w:p w14:paraId="73656DF3" w14:textId="77777777" w:rsidR="00FD7C6A" w:rsidRPr="00226750" w:rsidRDefault="00FD7C6A" w:rsidP="00573802">
            <w:pPr>
              <w:pStyle w:val="Tabletext"/>
            </w:pPr>
            <w:r w:rsidRPr="00226750">
              <w:t>CEO Safe + Equal</w:t>
            </w:r>
            <w:r>
              <w:t>, the</w:t>
            </w:r>
            <w:r w:rsidRPr="00226750">
              <w:t xml:space="preserve"> peak body for specialist family violence services in Victoria</w:t>
            </w:r>
            <w:r>
              <w:t xml:space="preserve"> </w:t>
            </w:r>
          </w:p>
        </w:tc>
      </w:tr>
      <w:tr w:rsidR="00FD7C6A" w:rsidRPr="00226750" w14:paraId="1F5F2BFB" w14:textId="77777777" w:rsidTr="00573802">
        <w:tc>
          <w:tcPr>
            <w:tcW w:w="2535" w:type="dxa"/>
            <w:shd w:val="clear" w:color="auto" w:fill="auto"/>
          </w:tcPr>
          <w:p w14:paraId="1D32E22A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Expert Advisory Panel member</w:t>
            </w:r>
          </w:p>
        </w:tc>
        <w:tc>
          <w:tcPr>
            <w:tcW w:w="7671" w:type="dxa"/>
            <w:shd w:val="clear" w:color="auto" w:fill="auto"/>
          </w:tcPr>
          <w:p w14:paraId="61B2B1E3" w14:textId="4BC9FEF9" w:rsidR="00FD7C6A" w:rsidRPr="00226750" w:rsidRDefault="00FD7C6A" w:rsidP="00573802">
            <w:pPr>
              <w:pStyle w:val="Tabletext"/>
            </w:pPr>
            <w:r w:rsidRPr="362724B9">
              <w:t>Safe and Equal’s Expert Advisory Panel</w:t>
            </w:r>
          </w:p>
        </w:tc>
      </w:tr>
      <w:tr w:rsidR="00FD7C6A" w:rsidRPr="00226750" w14:paraId="43D6D5F3" w14:textId="77777777" w:rsidTr="00573802">
        <w:tc>
          <w:tcPr>
            <w:tcW w:w="2535" w:type="dxa"/>
            <w:shd w:val="clear" w:color="auto" w:fill="auto"/>
          </w:tcPr>
          <w:p w14:paraId="2126FFD9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Kathleen Maltzahn </w:t>
            </w:r>
          </w:p>
        </w:tc>
        <w:tc>
          <w:tcPr>
            <w:tcW w:w="7671" w:type="dxa"/>
            <w:shd w:val="clear" w:color="auto" w:fill="auto"/>
          </w:tcPr>
          <w:p w14:paraId="7031DC21" w14:textId="77777777" w:rsidR="00FD7C6A" w:rsidRPr="00226750" w:rsidRDefault="00FD7C6A" w:rsidP="00573802">
            <w:pPr>
              <w:pStyle w:val="Tabletext"/>
            </w:pPr>
            <w:r w:rsidRPr="00226750">
              <w:t>CEO of Sexual Assault Services Victoria (</w:t>
            </w:r>
            <w:proofErr w:type="spellStart"/>
            <w:r w:rsidRPr="00226750">
              <w:t>SASVic</w:t>
            </w:r>
            <w:proofErr w:type="spellEnd"/>
            <w:r w:rsidRPr="00226750">
              <w:t>), the peak body for Victoria’s specialist sexual assault and harmful sexual behaviour services</w:t>
            </w:r>
          </w:p>
        </w:tc>
      </w:tr>
      <w:tr w:rsidR="00FD7C6A" w:rsidRPr="00226750" w14:paraId="78D4CE24" w14:textId="77777777" w:rsidTr="00573802">
        <w:tc>
          <w:tcPr>
            <w:tcW w:w="2535" w:type="dxa"/>
            <w:shd w:val="clear" w:color="auto" w:fill="auto"/>
          </w:tcPr>
          <w:p w14:paraId="23DA9DC7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Sarah Fordyce</w:t>
            </w:r>
          </w:p>
        </w:tc>
        <w:tc>
          <w:tcPr>
            <w:tcW w:w="7671" w:type="dxa"/>
            <w:shd w:val="clear" w:color="auto" w:fill="auto"/>
          </w:tcPr>
          <w:p w14:paraId="14E38E3F" w14:textId="77777777" w:rsidR="00FD7C6A" w:rsidRPr="00226750" w:rsidRDefault="00FD7C6A" w:rsidP="00573802">
            <w:pPr>
              <w:pStyle w:val="Tabletext"/>
            </w:pPr>
            <w:r w:rsidRPr="00226750">
              <w:t>Victorian State Manager of National Disability Services</w:t>
            </w:r>
          </w:p>
        </w:tc>
      </w:tr>
      <w:tr w:rsidR="00FD7C6A" w:rsidRPr="00226750" w14:paraId="414CFCB0" w14:textId="77777777" w:rsidTr="00573802">
        <w:tc>
          <w:tcPr>
            <w:tcW w:w="2535" w:type="dxa"/>
            <w:shd w:val="clear" w:color="auto" w:fill="auto"/>
            <w:hideMark/>
          </w:tcPr>
          <w:p w14:paraId="16F53151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David Tennant </w:t>
            </w:r>
          </w:p>
        </w:tc>
        <w:tc>
          <w:tcPr>
            <w:tcW w:w="7671" w:type="dxa"/>
            <w:shd w:val="clear" w:color="auto" w:fill="auto"/>
            <w:hideMark/>
          </w:tcPr>
          <w:p w14:paraId="5771BC2D" w14:textId="77777777" w:rsidR="00FD7C6A" w:rsidRPr="00226750" w:rsidRDefault="00FD7C6A" w:rsidP="00573802">
            <w:pPr>
              <w:pStyle w:val="Tabletext"/>
            </w:pPr>
            <w:r w:rsidRPr="00226750">
              <w:t>CEO, Family Care Shepparton</w:t>
            </w:r>
          </w:p>
        </w:tc>
      </w:tr>
      <w:tr w:rsidR="00FD7C6A" w:rsidRPr="00226750" w14:paraId="38FDA2D8" w14:textId="77777777" w:rsidTr="00573802">
        <w:tc>
          <w:tcPr>
            <w:tcW w:w="2535" w:type="dxa"/>
            <w:shd w:val="clear" w:color="auto" w:fill="auto"/>
          </w:tcPr>
          <w:p w14:paraId="4186CCD2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Deborah Di Natale</w:t>
            </w:r>
          </w:p>
        </w:tc>
        <w:tc>
          <w:tcPr>
            <w:tcW w:w="7671" w:type="dxa"/>
            <w:shd w:val="clear" w:color="auto" w:fill="auto"/>
          </w:tcPr>
          <w:p w14:paraId="6B6C68CE" w14:textId="77777777" w:rsidR="00FD7C6A" w:rsidRPr="00226750" w:rsidRDefault="00FD7C6A" w:rsidP="00573802">
            <w:pPr>
              <w:pStyle w:val="Tabletext"/>
            </w:pPr>
            <w:r w:rsidRPr="00226750">
              <w:t xml:space="preserve">CEO, Council to Homeless Persons, </w:t>
            </w:r>
            <w:r>
              <w:t xml:space="preserve">the </w:t>
            </w:r>
            <w:r w:rsidRPr="00226750">
              <w:t xml:space="preserve">peak body </w:t>
            </w:r>
            <w:r>
              <w:t>in specialist homelessness services</w:t>
            </w:r>
          </w:p>
        </w:tc>
      </w:tr>
      <w:tr w:rsidR="00FD7C6A" w:rsidRPr="00226750" w14:paraId="78742D7A" w14:textId="77777777" w:rsidTr="00573802">
        <w:tc>
          <w:tcPr>
            <w:tcW w:w="2535" w:type="dxa"/>
            <w:shd w:val="clear" w:color="auto" w:fill="auto"/>
            <w:hideMark/>
          </w:tcPr>
          <w:p w14:paraId="755D039E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Simon Corden </w:t>
            </w:r>
          </w:p>
        </w:tc>
        <w:tc>
          <w:tcPr>
            <w:tcW w:w="7671" w:type="dxa"/>
            <w:shd w:val="clear" w:color="auto" w:fill="auto"/>
            <w:hideMark/>
          </w:tcPr>
          <w:p w14:paraId="0C60CBB9" w14:textId="77777777" w:rsidR="00FD7C6A" w:rsidRPr="00226750" w:rsidRDefault="00FD7C6A" w:rsidP="00573802">
            <w:pPr>
              <w:pStyle w:val="Tabletext"/>
            </w:pPr>
            <w:r>
              <w:rPr>
                <w:rFonts w:eastAsia="Arial" w:cs="Arial"/>
              </w:rPr>
              <w:t xml:space="preserve">Public policy expert </w:t>
            </w:r>
          </w:p>
        </w:tc>
      </w:tr>
      <w:tr w:rsidR="00FD7C6A" w:rsidRPr="00226750" w14:paraId="76FD129F" w14:textId="77777777" w:rsidTr="00573802">
        <w:tc>
          <w:tcPr>
            <w:tcW w:w="2535" w:type="dxa"/>
            <w:shd w:val="clear" w:color="auto" w:fill="auto"/>
            <w:hideMark/>
          </w:tcPr>
          <w:p w14:paraId="1C01A725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Linda Bamblett </w:t>
            </w:r>
          </w:p>
        </w:tc>
        <w:tc>
          <w:tcPr>
            <w:tcW w:w="7671" w:type="dxa"/>
            <w:shd w:val="clear" w:color="auto" w:fill="auto"/>
            <w:hideMark/>
          </w:tcPr>
          <w:p w14:paraId="0675F9CE" w14:textId="77777777" w:rsidR="00FD7C6A" w:rsidRPr="00226750" w:rsidRDefault="00FD7C6A" w:rsidP="00573802">
            <w:pPr>
              <w:pStyle w:val="Tabletext"/>
            </w:pPr>
            <w:r w:rsidRPr="00226750">
              <w:t>CEO, Victorian Aboriginal Community Services Associatio</w:t>
            </w:r>
            <w:r>
              <w:t>n</w:t>
            </w:r>
          </w:p>
        </w:tc>
      </w:tr>
      <w:tr w:rsidR="00FD7C6A" w:rsidRPr="00226750" w14:paraId="0FCB0EA8" w14:textId="77777777" w:rsidTr="00573802">
        <w:tc>
          <w:tcPr>
            <w:tcW w:w="2535" w:type="dxa"/>
            <w:shd w:val="clear" w:color="auto" w:fill="auto"/>
          </w:tcPr>
          <w:p w14:paraId="65C06634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Michele Lonsdale </w:t>
            </w:r>
          </w:p>
        </w:tc>
        <w:tc>
          <w:tcPr>
            <w:tcW w:w="7671" w:type="dxa"/>
            <w:shd w:val="clear" w:color="auto" w:fill="auto"/>
            <w:hideMark/>
          </w:tcPr>
          <w:p w14:paraId="211DD041" w14:textId="77777777" w:rsidR="00FD7C6A" w:rsidRPr="00226750" w:rsidRDefault="00FD7C6A" w:rsidP="00573802">
            <w:pPr>
              <w:pStyle w:val="Tabletext"/>
            </w:pPr>
            <w:r>
              <w:t xml:space="preserve">Deputy </w:t>
            </w:r>
            <w:r w:rsidRPr="00226750">
              <w:t xml:space="preserve">CEO, Centre for Excellence in </w:t>
            </w:r>
            <w:proofErr w:type="gramStart"/>
            <w:r w:rsidRPr="00226750">
              <w:t>Child</w:t>
            </w:r>
            <w:proofErr w:type="gramEnd"/>
            <w:r w:rsidRPr="00226750">
              <w:t xml:space="preserve"> and Family Welfare  </w:t>
            </w:r>
            <w:r w:rsidRPr="00226750">
              <w:rPr>
                <w:rStyle w:val="eop"/>
              </w:rPr>
              <w:t> </w:t>
            </w:r>
          </w:p>
        </w:tc>
      </w:tr>
      <w:tr w:rsidR="00FD7C6A" w:rsidRPr="00226750" w14:paraId="0CE7EDE7" w14:textId="77777777" w:rsidTr="00573802">
        <w:tc>
          <w:tcPr>
            <w:tcW w:w="2535" w:type="dxa"/>
            <w:shd w:val="clear" w:color="auto" w:fill="auto"/>
            <w:hideMark/>
          </w:tcPr>
          <w:p w14:paraId="7BFDE99E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Colleen Pearce </w:t>
            </w:r>
          </w:p>
        </w:tc>
        <w:tc>
          <w:tcPr>
            <w:tcW w:w="7671" w:type="dxa"/>
            <w:shd w:val="clear" w:color="auto" w:fill="auto"/>
          </w:tcPr>
          <w:p w14:paraId="56F84124" w14:textId="77777777" w:rsidR="00FD7C6A" w:rsidRPr="00226750" w:rsidRDefault="00FD7C6A" w:rsidP="00573802">
            <w:pPr>
              <w:pStyle w:val="Tabletext"/>
            </w:pPr>
            <w:r w:rsidRPr="00226750">
              <w:t>The Public Advocate</w:t>
            </w:r>
            <w:r>
              <w:t>, Office of the Public Advocate</w:t>
            </w:r>
          </w:p>
        </w:tc>
      </w:tr>
      <w:tr w:rsidR="00FD7C6A" w:rsidRPr="00226750" w14:paraId="18C04FDB" w14:textId="77777777" w:rsidTr="00573802">
        <w:tc>
          <w:tcPr>
            <w:tcW w:w="2535" w:type="dxa"/>
            <w:shd w:val="clear" w:color="auto" w:fill="auto"/>
          </w:tcPr>
          <w:p w14:paraId="389E7901" w14:textId="77777777" w:rsidR="00FD7C6A" w:rsidRPr="00573802" w:rsidRDefault="00FD7C6A" w:rsidP="00573802">
            <w:pPr>
              <w:pStyle w:val="Tabletext"/>
              <w:rPr>
                <w:b/>
                <w:bCs/>
              </w:rPr>
            </w:pPr>
            <w:r w:rsidRPr="00573802">
              <w:rPr>
                <w:b/>
                <w:bCs/>
              </w:rPr>
              <w:t>Juanita Pope</w:t>
            </w:r>
          </w:p>
        </w:tc>
        <w:tc>
          <w:tcPr>
            <w:tcW w:w="7671" w:type="dxa"/>
            <w:shd w:val="clear" w:color="auto" w:fill="auto"/>
          </w:tcPr>
          <w:p w14:paraId="3294FD25" w14:textId="77777777" w:rsidR="00FD7C6A" w:rsidRPr="00226750" w:rsidRDefault="00FD7C6A" w:rsidP="00573802">
            <w:pPr>
              <w:pStyle w:val="Tabletext"/>
            </w:pPr>
            <w:r>
              <w:t>CEO, Victorian Council of Social Service</w:t>
            </w:r>
          </w:p>
        </w:tc>
      </w:tr>
    </w:tbl>
    <w:p w14:paraId="0C7A9914" w14:textId="7811F48D" w:rsidR="00FD7C6A" w:rsidRDefault="00FD7C6A" w:rsidP="00FD7C6A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D7C6A" w14:paraId="083BBB5E" w14:textId="77777777" w:rsidTr="00C31CC4">
        <w:tc>
          <w:tcPr>
            <w:tcW w:w="10194" w:type="dxa"/>
          </w:tcPr>
          <w:p w14:paraId="6B491466" w14:textId="4B1487CF" w:rsidR="00FD7C6A" w:rsidRDefault="00FD7C6A" w:rsidP="003F3F2F">
            <w:pPr>
              <w:pStyle w:val="Accessibilitypara"/>
            </w:pPr>
            <w:bookmarkStart w:id="2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3F3F2F" w:rsidRPr="00573802">
              <w:t>email the Social Services Regulation Reform team</w:t>
            </w:r>
            <w:r>
              <w:t xml:space="preserve"> </w:t>
            </w:r>
            <w:hyperlink r:id="rId15" w:history="1">
              <w:r w:rsidR="003F3F2F" w:rsidRPr="00DB4A09">
                <w:rPr>
                  <w:rStyle w:val="Hyperlink"/>
                </w:rPr>
                <w:t>regulationreform@dffh.vic.gov.au</w:t>
              </w:r>
            </w:hyperlink>
          </w:p>
          <w:p w14:paraId="6DA07940" w14:textId="77777777" w:rsidR="00FD7C6A" w:rsidRPr="0055119B" w:rsidRDefault="00FD7C6A" w:rsidP="00C31CC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058712E" w14:textId="32F1D207" w:rsidR="00FD7C6A" w:rsidRPr="0055119B" w:rsidRDefault="00FD7C6A" w:rsidP="00C31CC4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8C5BEA">
              <w:t>Ma</w:t>
            </w:r>
            <w:r w:rsidR="736286D6">
              <w:t>y</w:t>
            </w:r>
            <w:r w:rsidR="008C5BEA" w:rsidRPr="00573802">
              <w:t xml:space="preserve"> </w:t>
            </w:r>
            <w:r w:rsidRPr="00573802">
              <w:t>2024</w:t>
            </w:r>
            <w:r w:rsidRPr="0055119B">
              <w:t>.</w:t>
            </w:r>
          </w:p>
          <w:p w14:paraId="1BFABEF7" w14:textId="77777777" w:rsidR="00FD7C6A" w:rsidRPr="00573802" w:rsidRDefault="00FD7C6A" w:rsidP="00C31CC4">
            <w:pPr>
              <w:pStyle w:val="Imprint"/>
            </w:pPr>
            <w:bookmarkStart w:id="22" w:name="_Hlk62746129"/>
            <w:r w:rsidRPr="00573802">
              <w:t xml:space="preserve">In this document, ‘Aboriginal’ refers to both Aboriginal and Torres Strait Islander people. ‘Indigenous’ or ‘Koori/Koorie’ is retained when part of the title of a report, </w:t>
            </w:r>
            <w:proofErr w:type="gramStart"/>
            <w:r w:rsidRPr="00573802">
              <w:t>program</w:t>
            </w:r>
            <w:proofErr w:type="gramEnd"/>
            <w:r w:rsidRPr="00573802">
              <w:t xml:space="preserve"> or quotation.</w:t>
            </w:r>
          </w:p>
          <w:p w14:paraId="7D7CC79E" w14:textId="17D14A62" w:rsidR="00FD7C6A" w:rsidRPr="0055119B" w:rsidRDefault="00B236FE" w:rsidP="00C31CC4">
            <w:pPr>
              <w:pStyle w:val="Imprint"/>
            </w:pPr>
            <w:r w:rsidRPr="00B236FE">
              <w:rPr>
                <w:b/>
                <w:bCs/>
              </w:rPr>
              <w:t>ISBN </w:t>
            </w:r>
            <w:r w:rsidRPr="00B236FE">
              <w:t>978-1-76130-458-3 </w:t>
            </w:r>
            <w:r w:rsidRPr="00B236FE">
              <w:rPr>
                <w:b/>
                <w:bCs/>
              </w:rPr>
              <w:t>(pdf/online/MS word)</w:t>
            </w:r>
          </w:p>
          <w:bookmarkEnd w:id="22"/>
          <w:p w14:paraId="2147E7B0" w14:textId="05ECF06B" w:rsidR="00FD7C6A" w:rsidRDefault="00FD7C6A" w:rsidP="00C31CC4">
            <w:pPr>
              <w:pStyle w:val="Imprint"/>
            </w:pPr>
            <w:r w:rsidRPr="0055119B">
              <w:t xml:space="preserve">Available at </w:t>
            </w:r>
            <w:hyperlink r:id="rId16" w:history="1">
              <w:r w:rsidRPr="003F3F2F">
                <w:rPr>
                  <w:rStyle w:val="Hyperlink"/>
                </w:rPr>
                <w:t>Social Services Regulation Reform</w:t>
              </w:r>
            </w:hyperlink>
            <w:r>
              <w:t xml:space="preserve"> </w:t>
            </w:r>
            <w:hyperlink r:id="rId17" w:history="1">
              <w:r w:rsidR="00105279" w:rsidRPr="00D44C52">
                <w:rPr>
                  <w:rStyle w:val="Hyperlink"/>
                </w:rPr>
                <w:t>https://www.dffh.vic.gov.au/social-services-regulation-reform</w:t>
              </w:r>
            </w:hyperlink>
          </w:p>
          <w:p w14:paraId="3702F9F3" w14:textId="175F1387" w:rsidR="00105279" w:rsidRDefault="00105279" w:rsidP="00C31CC4">
            <w:pPr>
              <w:pStyle w:val="Imprint"/>
            </w:pPr>
            <w:r>
              <w:t>(</w:t>
            </w:r>
            <w:r w:rsidRPr="00105279">
              <w:t>2401693</w:t>
            </w:r>
            <w:r>
              <w:t>)</w:t>
            </w:r>
          </w:p>
        </w:tc>
      </w:tr>
      <w:bookmarkEnd w:id="21"/>
    </w:tbl>
    <w:p w14:paraId="63DFC559" w14:textId="41358CBC" w:rsidR="00FD7C6A" w:rsidRPr="00FD7C6A" w:rsidRDefault="00FD7C6A" w:rsidP="00FD7C6A">
      <w:pPr>
        <w:pStyle w:val="Body"/>
      </w:pPr>
    </w:p>
    <w:sectPr w:rsidR="00FD7C6A" w:rsidRPr="00FD7C6A" w:rsidSect="00056AFE">
      <w:headerReference w:type="default" r:id="rId18"/>
      <w:footerReference w:type="default" r:id="rId19"/>
      <w:type w:val="continuous"/>
      <w:pgSz w:w="11906" w:h="16838" w:code="9"/>
      <w:pgMar w:top="1418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7D79" w14:textId="77777777" w:rsidR="00D836D4" w:rsidRDefault="00D836D4">
      <w:r>
        <w:separator/>
      </w:r>
    </w:p>
    <w:p w14:paraId="3ABC6D30" w14:textId="77777777" w:rsidR="00D836D4" w:rsidRDefault="00D836D4"/>
  </w:endnote>
  <w:endnote w:type="continuationSeparator" w:id="0">
    <w:p w14:paraId="792F80AB" w14:textId="77777777" w:rsidR="00D836D4" w:rsidRDefault="00D836D4">
      <w:r>
        <w:continuationSeparator/>
      </w:r>
    </w:p>
    <w:p w14:paraId="2E681430" w14:textId="77777777" w:rsidR="00D836D4" w:rsidRDefault="00D836D4"/>
  </w:endnote>
  <w:endnote w:type="continuationNotice" w:id="1">
    <w:p w14:paraId="19D412A1" w14:textId="77777777" w:rsidR="00D836D4" w:rsidRDefault="00D83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" name="Picture 1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CDD5" w14:textId="77777777" w:rsidR="00D836D4" w:rsidRDefault="00D836D4" w:rsidP="00207717">
      <w:pPr>
        <w:spacing w:before="120"/>
      </w:pPr>
      <w:r>
        <w:separator/>
      </w:r>
    </w:p>
  </w:footnote>
  <w:footnote w:type="continuationSeparator" w:id="0">
    <w:p w14:paraId="5E015869" w14:textId="77777777" w:rsidR="00D836D4" w:rsidRDefault="00D836D4">
      <w:r>
        <w:continuationSeparator/>
      </w:r>
    </w:p>
    <w:p w14:paraId="74A993E6" w14:textId="77777777" w:rsidR="00D836D4" w:rsidRDefault="00D836D4"/>
  </w:footnote>
  <w:footnote w:type="continuationNotice" w:id="1">
    <w:p w14:paraId="7F86C12B" w14:textId="77777777" w:rsidR="00D836D4" w:rsidRDefault="00D83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65962B87" w:rsidR="00E261B3" w:rsidRPr="0051568D" w:rsidRDefault="00FD7C6A" w:rsidP="0017674D">
    <w:pPr>
      <w:pStyle w:val="Header"/>
    </w:pPr>
    <w:r>
      <w:t>Social Services Regulation Taskforce – Terms of Reference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696A48"/>
    <w:multiLevelType w:val="hybridMultilevel"/>
    <w:tmpl w:val="20B2C3B8"/>
    <w:lvl w:ilvl="0" w:tplc="070CD01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277C4A0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D70ED97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7D06B52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EAF8E4D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9DE869C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7C0AEEB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7EB43B0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B0E609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DBB681B"/>
    <w:multiLevelType w:val="hybridMultilevel"/>
    <w:tmpl w:val="34506E9E"/>
    <w:lvl w:ilvl="0" w:tplc="FD0C569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A892556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CC6276A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88BADBD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D4CE816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DB90C8F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63E0FC3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39F6DC3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D6A4D32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9" w15:restartNumberingAfterBreak="0">
    <w:nsid w:val="3E6C68D4"/>
    <w:multiLevelType w:val="multilevel"/>
    <w:tmpl w:val="B4525A8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3957026">
    <w:abstractNumId w:val="10"/>
  </w:num>
  <w:num w:numId="2" w16cid:durableId="2036468104">
    <w:abstractNumId w:val="19"/>
  </w:num>
  <w:num w:numId="3" w16cid:durableId="18851696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070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8377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005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314012">
    <w:abstractNumId w:val="23"/>
  </w:num>
  <w:num w:numId="8" w16cid:durableId="2115053567">
    <w:abstractNumId w:val="17"/>
  </w:num>
  <w:num w:numId="9" w16cid:durableId="335352029">
    <w:abstractNumId w:val="22"/>
  </w:num>
  <w:num w:numId="10" w16cid:durableId="1253971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3940">
    <w:abstractNumId w:val="24"/>
  </w:num>
  <w:num w:numId="12" w16cid:durableId="49230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711277">
    <w:abstractNumId w:val="20"/>
  </w:num>
  <w:num w:numId="14" w16cid:durableId="779110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8566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7901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6281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1039449">
    <w:abstractNumId w:val="26"/>
  </w:num>
  <w:num w:numId="19" w16cid:durableId="12344655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3452540">
    <w:abstractNumId w:val="14"/>
  </w:num>
  <w:num w:numId="21" w16cid:durableId="265232632">
    <w:abstractNumId w:val="12"/>
  </w:num>
  <w:num w:numId="22" w16cid:durableId="16994252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4137042">
    <w:abstractNumId w:val="16"/>
  </w:num>
  <w:num w:numId="24" w16cid:durableId="1784037949">
    <w:abstractNumId w:val="27"/>
  </w:num>
  <w:num w:numId="25" w16cid:durableId="1025448704">
    <w:abstractNumId w:val="25"/>
  </w:num>
  <w:num w:numId="26" w16cid:durableId="1639457966">
    <w:abstractNumId w:val="21"/>
  </w:num>
  <w:num w:numId="27" w16cid:durableId="889196945">
    <w:abstractNumId w:val="11"/>
  </w:num>
  <w:num w:numId="28" w16cid:durableId="607078120">
    <w:abstractNumId w:val="28"/>
  </w:num>
  <w:num w:numId="29" w16cid:durableId="1386297767">
    <w:abstractNumId w:val="9"/>
  </w:num>
  <w:num w:numId="30" w16cid:durableId="780995758">
    <w:abstractNumId w:val="7"/>
  </w:num>
  <w:num w:numId="31" w16cid:durableId="931594973">
    <w:abstractNumId w:val="6"/>
  </w:num>
  <w:num w:numId="32" w16cid:durableId="480149304">
    <w:abstractNumId w:val="5"/>
  </w:num>
  <w:num w:numId="33" w16cid:durableId="1861314183">
    <w:abstractNumId w:val="4"/>
  </w:num>
  <w:num w:numId="34" w16cid:durableId="1001390549">
    <w:abstractNumId w:val="8"/>
  </w:num>
  <w:num w:numId="35" w16cid:durableId="1782263919">
    <w:abstractNumId w:val="3"/>
  </w:num>
  <w:num w:numId="36" w16cid:durableId="414589974">
    <w:abstractNumId w:val="2"/>
  </w:num>
  <w:num w:numId="37" w16cid:durableId="1915241072">
    <w:abstractNumId w:val="1"/>
  </w:num>
  <w:num w:numId="38" w16cid:durableId="1166092228">
    <w:abstractNumId w:val="0"/>
  </w:num>
  <w:num w:numId="39" w16cid:durableId="1458793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4928230">
    <w:abstractNumId w:val="23"/>
  </w:num>
  <w:num w:numId="41" w16cid:durableId="323702876">
    <w:abstractNumId w:val="23"/>
  </w:num>
  <w:num w:numId="42" w16cid:durableId="1538739955">
    <w:abstractNumId w:val="23"/>
  </w:num>
  <w:num w:numId="43" w16cid:durableId="3123746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3721573">
    <w:abstractNumId w:val="15"/>
  </w:num>
  <w:num w:numId="45" w16cid:durableId="186393776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0830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2D06"/>
    <w:rsid w:val="00056AFE"/>
    <w:rsid w:val="000578B2"/>
    <w:rsid w:val="00060959"/>
    <w:rsid w:val="00060C8F"/>
    <w:rsid w:val="0006298A"/>
    <w:rsid w:val="000643BD"/>
    <w:rsid w:val="000663CD"/>
    <w:rsid w:val="00066D5E"/>
    <w:rsid w:val="000733FE"/>
    <w:rsid w:val="00074219"/>
    <w:rsid w:val="00074ED5"/>
    <w:rsid w:val="00080CB8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424C"/>
    <w:rsid w:val="000B543D"/>
    <w:rsid w:val="000B55F9"/>
    <w:rsid w:val="000B5BF7"/>
    <w:rsid w:val="000B6BC8"/>
    <w:rsid w:val="000C0303"/>
    <w:rsid w:val="000C42EA"/>
    <w:rsid w:val="000C4546"/>
    <w:rsid w:val="000D1242"/>
    <w:rsid w:val="000D51F9"/>
    <w:rsid w:val="000E0970"/>
    <w:rsid w:val="000E0E90"/>
    <w:rsid w:val="000E3CC7"/>
    <w:rsid w:val="000E3FA5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79"/>
    <w:rsid w:val="00105291"/>
    <w:rsid w:val="00106FD7"/>
    <w:rsid w:val="0010714F"/>
    <w:rsid w:val="001120C5"/>
    <w:rsid w:val="00120BD3"/>
    <w:rsid w:val="00122FEA"/>
    <w:rsid w:val="001232BD"/>
    <w:rsid w:val="00124ED5"/>
    <w:rsid w:val="001276FA"/>
    <w:rsid w:val="001447B3"/>
    <w:rsid w:val="00145A02"/>
    <w:rsid w:val="00152073"/>
    <w:rsid w:val="00156598"/>
    <w:rsid w:val="0015797C"/>
    <w:rsid w:val="00157A34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49CF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AB8"/>
    <w:rsid w:val="001A3ACE"/>
    <w:rsid w:val="001A71D6"/>
    <w:rsid w:val="001B058F"/>
    <w:rsid w:val="001B15CA"/>
    <w:rsid w:val="001B1DC0"/>
    <w:rsid w:val="001B6B96"/>
    <w:rsid w:val="001B7228"/>
    <w:rsid w:val="001B738B"/>
    <w:rsid w:val="001B7DEE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78"/>
    <w:rsid w:val="001E7282"/>
    <w:rsid w:val="001F14E6"/>
    <w:rsid w:val="001F153A"/>
    <w:rsid w:val="001F3826"/>
    <w:rsid w:val="001F6E46"/>
    <w:rsid w:val="001F7C91"/>
    <w:rsid w:val="002029DF"/>
    <w:rsid w:val="002033B7"/>
    <w:rsid w:val="002035F0"/>
    <w:rsid w:val="00206463"/>
    <w:rsid w:val="00206A05"/>
    <w:rsid w:val="00206F2F"/>
    <w:rsid w:val="00207717"/>
    <w:rsid w:val="0021053D"/>
    <w:rsid w:val="00210A92"/>
    <w:rsid w:val="00216C03"/>
    <w:rsid w:val="002205BA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2F21"/>
    <w:rsid w:val="002B2F7E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018"/>
    <w:rsid w:val="002E7540"/>
    <w:rsid w:val="002E7C36"/>
    <w:rsid w:val="002F3ADF"/>
    <w:rsid w:val="002F3D32"/>
    <w:rsid w:val="002F5F31"/>
    <w:rsid w:val="002F5F46"/>
    <w:rsid w:val="00301257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3EDA"/>
    <w:rsid w:val="00334DD1"/>
    <w:rsid w:val="00337339"/>
    <w:rsid w:val="003406C6"/>
    <w:rsid w:val="003418CC"/>
    <w:rsid w:val="00341D4A"/>
    <w:rsid w:val="003459BD"/>
    <w:rsid w:val="00350D38"/>
    <w:rsid w:val="00351405"/>
    <w:rsid w:val="00351B36"/>
    <w:rsid w:val="00354DC0"/>
    <w:rsid w:val="00357B4E"/>
    <w:rsid w:val="00360A08"/>
    <w:rsid w:val="003716FD"/>
    <w:rsid w:val="0037204B"/>
    <w:rsid w:val="003744CF"/>
    <w:rsid w:val="00374717"/>
    <w:rsid w:val="00375D44"/>
    <w:rsid w:val="0037676C"/>
    <w:rsid w:val="00377A1A"/>
    <w:rsid w:val="00381043"/>
    <w:rsid w:val="0038187C"/>
    <w:rsid w:val="003829E5"/>
    <w:rsid w:val="00386109"/>
    <w:rsid w:val="00386944"/>
    <w:rsid w:val="00392461"/>
    <w:rsid w:val="00393794"/>
    <w:rsid w:val="003952A2"/>
    <w:rsid w:val="003956CC"/>
    <w:rsid w:val="00395C9A"/>
    <w:rsid w:val="00397280"/>
    <w:rsid w:val="003973FB"/>
    <w:rsid w:val="003A04E1"/>
    <w:rsid w:val="003A0853"/>
    <w:rsid w:val="003A6B67"/>
    <w:rsid w:val="003B13B6"/>
    <w:rsid w:val="003B14C3"/>
    <w:rsid w:val="003B15E6"/>
    <w:rsid w:val="003B1BDC"/>
    <w:rsid w:val="003B2679"/>
    <w:rsid w:val="003B408A"/>
    <w:rsid w:val="003B561E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2B60"/>
    <w:rsid w:val="003E2BC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3F2F"/>
    <w:rsid w:val="003F5CB9"/>
    <w:rsid w:val="004013C7"/>
    <w:rsid w:val="00401FCF"/>
    <w:rsid w:val="00406157"/>
    <w:rsid w:val="00406285"/>
    <w:rsid w:val="00412D93"/>
    <w:rsid w:val="004148F9"/>
    <w:rsid w:val="0042084E"/>
    <w:rsid w:val="00421EEF"/>
    <w:rsid w:val="00424D65"/>
    <w:rsid w:val="0042699B"/>
    <w:rsid w:val="00430393"/>
    <w:rsid w:val="00431727"/>
    <w:rsid w:val="00431806"/>
    <w:rsid w:val="004350F9"/>
    <w:rsid w:val="00437AC5"/>
    <w:rsid w:val="004405EB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14D"/>
    <w:rsid w:val="0046440A"/>
    <w:rsid w:val="00466C92"/>
    <w:rsid w:val="00466E79"/>
    <w:rsid w:val="00470D7D"/>
    <w:rsid w:val="0047372D"/>
    <w:rsid w:val="00473BA3"/>
    <w:rsid w:val="004743DD"/>
    <w:rsid w:val="00474CEA"/>
    <w:rsid w:val="004761DE"/>
    <w:rsid w:val="0048029F"/>
    <w:rsid w:val="00483968"/>
    <w:rsid w:val="004841BE"/>
    <w:rsid w:val="00484F86"/>
    <w:rsid w:val="00485EEF"/>
    <w:rsid w:val="00490746"/>
    <w:rsid w:val="00490852"/>
    <w:rsid w:val="00490A80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5ED"/>
    <w:rsid w:val="004A707D"/>
    <w:rsid w:val="004B3776"/>
    <w:rsid w:val="004B4185"/>
    <w:rsid w:val="004B43CE"/>
    <w:rsid w:val="004C2A63"/>
    <w:rsid w:val="004C5541"/>
    <w:rsid w:val="004C6EEE"/>
    <w:rsid w:val="004C702B"/>
    <w:rsid w:val="004C755A"/>
    <w:rsid w:val="004D0033"/>
    <w:rsid w:val="004D016B"/>
    <w:rsid w:val="004D1190"/>
    <w:rsid w:val="004D1B22"/>
    <w:rsid w:val="004D23CC"/>
    <w:rsid w:val="004D36F2"/>
    <w:rsid w:val="004E1106"/>
    <w:rsid w:val="004E138F"/>
    <w:rsid w:val="004E4649"/>
    <w:rsid w:val="004E5C2B"/>
    <w:rsid w:val="004E6CFB"/>
    <w:rsid w:val="004F00DD"/>
    <w:rsid w:val="004F2133"/>
    <w:rsid w:val="004F401A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42AB"/>
    <w:rsid w:val="0055695D"/>
    <w:rsid w:val="005577F1"/>
    <w:rsid w:val="00561202"/>
    <w:rsid w:val="00570FA2"/>
    <w:rsid w:val="00572031"/>
    <w:rsid w:val="00572282"/>
    <w:rsid w:val="00573802"/>
    <w:rsid w:val="00573CE3"/>
    <w:rsid w:val="00575051"/>
    <w:rsid w:val="00576E84"/>
    <w:rsid w:val="00580394"/>
    <w:rsid w:val="005809CD"/>
    <w:rsid w:val="005815E2"/>
    <w:rsid w:val="00582B8C"/>
    <w:rsid w:val="005850F7"/>
    <w:rsid w:val="005855F2"/>
    <w:rsid w:val="00586055"/>
    <w:rsid w:val="0058757E"/>
    <w:rsid w:val="00593A99"/>
    <w:rsid w:val="0059558F"/>
    <w:rsid w:val="005968B0"/>
    <w:rsid w:val="00596A4B"/>
    <w:rsid w:val="00597507"/>
    <w:rsid w:val="005A2AF8"/>
    <w:rsid w:val="005A479D"/>
    <w:rsid w:val="005A5093"/>
    <w:rsid w:val="005B1C6D"/>
    <w:rsid w:val="005B21B6"/>
    <w:rsid w:val="005B3A08"/>
    <w:rsid w:val="005B411B"/>
    <w:rsid w:val="005B59B1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6EA"/>
    <w:rsid w:val="005E14E7"/>
    <w:rsid w:val="005E26A3"/>
    <w:rsid w:val="005E2ECB"/>
    <w:rsid w:val="005E447E"/>
    <w:rsid w:val="005E4FD1"/>
    <w:rsid w:val="005F0775"/>
    <w:rsid w:val="005F0CF5"/>
    <w:rsid w:val="005F21EB"/>
    <w:rsid w:val="005F2A1C"/>
    <w:rsid w:val="005F64CF"/>
    <w:rsid w:val="006041AD"/>
    <w:rsid w:val="00605908"/>
    <w:rsid w:val="00606904"/>
    <w:rsid w:val="00607850"/>
    <w:rsid w:val="00610D7C"/>
    <w:rsid w:val="00613414"/>
    <w:rsid w:val="00615C50"/>
    <w:rsid w:val="00620154"/>
    <w:rsid w:val="00621BAC"/>
    <w:rsid w:val="0062408D"/>
    <w:rsid w:val="006240CC"/>
    <w:rsid w:val="00624940"/>
    <w:rsid w:val="006254F8"/>
    <w:rsid w:val="00627DA7"/>
    <w:rsid w:val="00630DA4"/>
    <w:rsid w:val="006316BE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523"/>
    <w:rsid w:val="00651CF7"/>
    <w:rsid w:val="006557A7"/>
    <w:rsid w:val="00656290"/>
    <w:rsid w:val="006601C9"/>
    <w:rsid w:val="006608D8"/>
    <w:rsid w:val="006621D7"/>
    <w:rsid w:val="00662F08"/>
    <w:rsid w:val="0066302A"/>
    <w:rsid w:val="00663144"/>
    <w:rsid w:val="00667770"/>
    <w:rsid w:val="00670597"/>
    <w:rsid w:val="006706D0"/>
    <w:rsid w:val="00671AAA"/>
    <w:rsid w:val="00675E85"/>
    <w:rsid w:val="00677574"/>
    <w:rsid w:val="00680DB7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189F"/>
    <w:rsid w:val="006D2A3F"/>
    <w:rsid w:val="006D2FBC"/>
    <w:rsid w:val="006E138B"/>
    <w:rsid w:val="006E1867"/>
    <w:rsid w:val="006E432E"/>
    <w:rsid w:val="006F0330"/>
    <w:rsid w:val="006F1FDC"/>
    <w:rsid w:val="006F6B8C"/>
    <w:rsid w:val="007013EF"/>
    <w:rsid w:val="007055BD"/>
    <w:rsid w:val="007056BA"/>
    <w:rsid w:val="007173CA"/>
    <w:rsid w:val="0072148E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2C1D"/>
    <w:rsid w:val="00763139"/>
    <w:rsid w:val="00766F80"/>
    <w:rsid w:val="007671EC"/>
    <w:rsid w:val="00770F37"/>
    <w:rsid w:val="007711A0"/>
    <w:rsid w:val="00772561"/>
    <w:rsid w:val="00772D5E"/>
    <w:rsid w:val="0077463E"/>
    <w:rsid w:val="00776928"/>
    <w:rsid w:val="00776E0F"/>
    <w:rsid w:val="007774B1"/>
    <w:rsid w:val="00777BE1"/>
    <w:rsid w:val="007833D8"/>
    <w:rsid w:val="00785677"/>
    <w:rsid w:val="00785F0B"/>
    <w:rsid w:val="00786F16"/>
    <w:rsid w:val="0079136A"/>
    <w:rsid w:val="00791BD7"/>
    <w:rsid w:val="007933F7"/>
    <w:rsid w:val="00796E20"/>
    <w:rsid w:val="00797C32"/>
    <w:rsid w:val="007A11E8"/>
    <w:rsid w:val="007A3871"/>
    <w:rsid w:val="007B0794"/>
    <w:rsid w:val="007B0914"/>
    <w:rsid w:val="007B1374"/>
    <w:rsid w:val="007B32E5"/>
    <w:rsid w:val="007B3DB9"/>
    <w:rsid w:val="007B4E62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457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DF9"/>
    <w:rsid w:val="00820141"/>
    <w:rsid w:val="00820E0C"/>
    <w:rsid w:val="008217AD"/>
    <w:rsid w:val="0082242C"/>
    <w:rsid w:val="00823275"/>
    <w:rsid w:val="0082366F"/>
    <w:rsid w:val="00823E2A"/>
    <w:rsid w:val="00827A3E"/>
    <w:rsid w:val="008338A2"/>
    <w:rsid w:val="00841AA9"/>
    <w:rsid w:val="008474FE"/>
    <w:rsid w:val="0085232E"/>
    <w:rsid w:val="00853A73"/>
    <w:rsid w:val="00853EE4"/>
    <w:rsid w:val="00855535"/>
    <w:rsid w:val="00857C5A"/>
    <w:rsid w:val="0086255E"/>
    <w:rsid w:val="00863093"/>
    <w:rsid w:val="008633F0"/>
    <w:rsid w:val="008648FC"/>
    <w:rsid w:val="00867D9D"/>
    <w:rsid w:val="00872C54"/>
    <w:rsid w:val="00872E0A"/>
    <w:rsid w:val="00873594"/>
    <w:rsid w:val="00875285"/>
    <w:rsid w:val="00877511"/>
    <w:rsid w:val="00877BE7"/>
    <w:rsid w:val="00884B62"/>
    <w:rsid w:val="0088529C"/>
    <w:rsid w:val="00885DAB"/>
    <w:rsid w:val="00887903"/>
    <w:rsid w:val="0089270A"/>
    <w:rsid w:val="00893AF6"/>
    <w:rsid w:val="00894BC4"/>
    <w:rsid w:val="00897179"/>
    <w:rsid w:val="008A28A8"/>
    <w:rsid w:val="008A494F"/>
    <w:rsid w:val="008A53DA"/>
    <w:rsid w:val="008A5B32"/>
    <w:rsid w:val="008A5D60"/>
    <w:rsid w:val="008A6D2B"/>
    <w:rsid w:val="008B2029"/>
    <w:rsid w:val="008B2EE4"/>
    <w:rsid w:val="008B3821"/>
    <w:rsid w:val="008B4D3D"/>
    <w:rsid w:val="008B57C7"/>
    <w:rsid w:val="008C081D"/>
    <w:rsid w:val="008C2F92"/>
    <w:rsid w:val="008C589D"/>
    <w:rsid w:val="008C5BEA"/>
    <w:rsid w:val="008C6804"/>
    <w:rsid w:val="008C6D51"/>
    <w:rsid w:val="008D2846"/>
    <w:rsid w:val="008D4236"/>
    <w:rsid w:val="008D462F"/>
    <w:rsid w:val="008D5C45"/>
    <w:rsid w:val="008D5E8D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4FF2"/>
    <w:rsid w:val="009257ED"/>
    <w:rsid w:val="009269B1"/>
    <w:rsid w:val="0092724D"/>
    <w:rsid w:val="009272B3"/>
    <w:rsid w:val="009315BE"/>
    <w:rsid w:val="00931D6E"/>
    <w:rsid w:val="0093338F"/>
    <w:rsid w:val="00933C51"/>
    <w:rsid w:val="00937BD9"/>
    <w:rsid w:val="00941340"/>
    <w:rsid w:val="009468AA"/>
    <w:rsid w:val="00950E2C"/>
    <w:rsid w:val="00951087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38B"/>
    <w:rsid w:val="0099153B"/>
    <w:rsid w:val="00991769"/>
    <w:rsid w:val="0099232C"/>
    <w:rsid w:val="009928DB"/>
    <w:rsid w:val="00994386"/>
    <w:rsid w:val="00994791"/>
    <w:rsid w:val="00995379"/>
    <w:rsid w:val="009965E2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3671"/>
    <w:rsid w:val="00A04CCE"/>
    <w:rsid w:val="00A07421"/>
    <w:rsid w:val="00A0776B"/>
    <w:rsid w:val="00A10FB9"/>
    <w:rsid w:val="00A11421"/>
    <w:rsid w:val="00A11FD8"/>
    <w:rsid w:val="00A1389F"/>
    <w:rsid w:val="00A14996"/>
    <w:rsid w:val="00A1566B"/>
    <w:rsid w:val="00A157B1"/>
    <w:rsid w:val="00A22229"/>
    <w:rsid w:val="00A24442"/>
    <w:rsid w:val="00A252B9"/>
    <w:rsid w:val="00A32577"/>
    <w:rsid w:val="00A330BB"/>
    <w:rsid w:val="00A330F6"/>
    <w:rsid w:val="00A33C4E"/>
    <w:rsid w:val="00A34ACD"/>
    <w:rsid w:val="00A35EBC"/>
    <w:rsid w:val="00A37A4C"/>
    <w:rsid w:val="00A443E9"/>
    <w:rsid w:val="00A44882"/>
    <w:rsid w:val="00A45125"/>
    <w:rsid w:val="00A513A9"/>
    <w:rsid w:val="00A54715"/>
    <w:rsid w:val="00A54D2A"/>
    <w:rsid w:val="00A6061C"/>
    <w:rsid w:val="00A607AE"/>
    <w:rsid w:val="00A62D44"/>
    <w:rsid w:val="00A67263"/>
    <w:rsid w:val="00A7161C"/>
    <w:rsid w:val="00A7697C"/>
    <w:rsid w:val="00A77AA3"/>
    <w:rsid w:val="00A8236D"/>
    <w:rsid w:val="00A83121"/>
    <w:rsid w:val="00A854EB"/>
    <w:rsid w:val="00A8581E"/>
    <w:rsid w:val="00A872E5"/>
    <w:rsid w:val="00A87A20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1D93"/>
    <w:rsid w:val="00AC274B"/>
    <w:rsid w:val="00AC3F9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2AD"/>
    <w:rsid w:val="00B00672"/>
    <w:rsid w:val="00B01B4D"/>
    <w:rsid w:val="00B020C2"/>
    <w:rsid w:val="00B04489"/>
    <w:rsid w:val="00B06571"/>
    <w:rsid w:val="00B068BA"/>
    <w:rsid w:val="00B068D3"/>
    <w:rsid w:val="00B07217"/>
    <w:rsid w:val="00B13851"/>
    <w:rsid w:val="00B13B1C"/>
    <w:rsid w:val="00B14B5F"/>
    <w:rsid w:val="00B21F90"/>
    <w:rsid w:val="00B22291"/>
    <w:rsid w:val="00B236FE"/>
    <w:rsid w:val="00B23F9A"/>
    <w:rsid w:val="00B2417B"/>
    <w:rsid w:val="00B24E6F"/>
    <w:rsid w:val="00B2633C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E95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7792F"/>
    <w:rsid w:val="00B85B53"/>
    <w:rsid w:val="00B90729"/>
    <w:rsid w:val="00B907DA"/>
    <w:rsid w:val="00B91FFE"/>
    <w:rsid w:val="00B950BC"/>
    <w:rsid w:val="00B95114"/>
    <w:rsid w:val="00B95AB9"/>
    <w:rsid w:val="00B9714C"/>
    <w:rsid w:val="00B973FF"/>
    <w:rsid w:val="00BA29AD"/>
    <w:rsid w:val="00BA33CF"/>
    <w:rsid w:val="00BA3F8D"/>
    <w:rsid w:val="00BB5053"/>
    <w:rsid w:val="00BB7A10"/>
    <w:rsid w:val="00BC54FA"/>
    <w:rsid w:val="00BC60BE"/>
    <w:rsid w:val="00BC7468"/>
    <w:rsid w:val="00BC74A9"/>
    <w:rsid w:val="00BC7D4F"/>
    <w:rsid w:val="00BC7ED7"/>
    <w:rsid w:val="00BD2850"/>
    <w:rsid w:val="00BD3965"/>
    <w:rsid w:val="00BD39CE"/>
    <w:rsid w:val="00BD6049"/>
    <w:rsid w:val="00BE0217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B74"/>
    <w:rsid w:val="00C123EA"/>
    <w:rsid w:val="00C12A49"/>
    <w:rsid w:val="00C133EE"/>
    <w:rsid w:val="00C149D0"/>
    <w:rsid w:val="00C20FB7"/>
    <w:rsid w:val="00C231A0"/>
    <w:rsid w:val="00C23D67"/>
    <w:rsid w:val="00C26588"/>
    <w:rsid w:val="00C27DE9"/>
    <w:rsid w:val="00C31CC4"/>
    <w:rsid w:val="00C32989"/>
    <w:rsid w:val="00C33388"/>
    <w:rsid w:val="00C35484"/>
    <w:rsid w:val="00C35ECD"/>
    <w:rsid w:val="00C4173A"/>
    <w:rsid w:val="00C50DED"/>
    <w:rsid w:val="00C52217"/>
    <w:rsid w:val="00C573C8"/>
    <w:rsid w:val="00C57CFC"/>
    <w:rsid w:val="00C602FF"/>
    <w:rsid w:val="00C61174"/>
    <w:rsid w:val="00C6148F"/>
    <w:rsid w:val="00C621B1"/>
    <w:rsid w:val="00C62F7A"/>
    <w:rsid w:val="00C63653"/>
    <w:rsid w:val="00C63B9C"/>
    <w:rsid w:val="00C6682F"/>
    <w:rsid w:val="00C67BF4"/>
    <w:rsid w:val="00C7275E"/>
    <w:rsid w:val="00C74C5D"/>
    <w:rsid w:val="00C863C4"/>
    <w:rsid w:val="00C86484"/>
    <w:rsid w:val="00C920EA"/>
    <w:rsid w:val="00C93C3E"/>
    <w:rsid w:val="00C9663B"/>
    <w:rsid w:val="00CA12E3"/>
    <w:rsid w:val="00CA1476"/>
    <w:rsid w:val="00CA2D92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22CB"/>
    <w:rsid w:val="00CD3476"/>
    <w:rsid w:val="00CD64DF"/>
    <w:rsid w:val="00CE077A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54D4"/>
    <w:rsid w:val="00D27BC8"/>
    <w:rsid w:val="00D3185C"/>
    <w:rsid w:val="00D3205F"/>
    <w:rsid w:val="00D3318E"/>
    <w:rsid w:val="00D33E72"/>
    <w:rsid w:val="00D35BD6"/>
    <w:rsid w:val="00D35E0A"/>
    <w:rsid w:val="00D361B5"/>
    <w:rsid w:val="00D402DB"/>
    <w:rsid w:val="00D411A2"/>
    <w:rsid w:val="00D4606D"/>
    <w:rsid w:val="00D50B9C"/>
    <w:rsid w:val="00D52D73"/>
    <w:rsid w:val="00D52E58"/>
    <w:rsid w:val="00D5315E"/>
    <w:rsid w:val="00D56B20"/>
    <w:rsid w:val="00D578B3"/>
    <w:rsid w:val="00D618F4"/>
    <w:rsid w:val="00D64D7E"/>
    <w:rsid w:val="00D714CC"/>
    <w:rsid w:val="00D73485"/>
    <w:rsid w:val="00D75344"/>
    <w:rsid w:val="00D75EA7"/>
    <w:rsid w:val="00D81ADF"/>
    <w:rsid w:val="00D81F21"/>
    <w:rsid w:val="00D836D4"/>
    <w:rsid w:val="00D8423D"/>
    <w:rsid w:val="00D84658"/>
    <w:rsid w:val="00D864F2"/>
    <w:rsid w:val="00D87492"/>
    <w:rsid w:val="00D94057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AEF"/>
    <w:rsid w:val="00DC4FCF"/>
    <w:rsid w:val="00DC50E0"/>
    <w:rsid w:val="00DC6386"/>
    <w:rsid w:val="00DD011E"/>
    <w:rsid w:val="00DD1130"/>
    <w:rsid w:val="00DD1951"/>
    <w:rsid w:val="00DD487D"/>
    <w:rsid w:val="00DD4E83"/>
    <w:rsid w:val="00DD602D"/>
    <w:rsid w:val="00DD6628"/>
    <w:rsid w:val="00DD6945"/>
    <w:rsid w:val="00DE2D04"/>
    <w:rsid w:val="00DE3250"/>
    <w:rsid w:val="00DE6028"/>
    <w:rsid w:val="00DE6C85"/>
    <w:rsid w:val="00DE78A3"/>
    <w:rsid w:val="00DF1A71"/>
    <w:rsid w:val="00DF4FD9"/>
    <w:rsid w:val="00DF50FC"/>
    <w:rsid w:val="00DF68C7"/>
    <w:rsid w:val="00DF731A"/>
    <w:rsid w:val="00E06B75"/>
    <w:rsid w:val="00E102EC"/>
    <w:rsid w:val="00E11332"/>
    <w:rsid w:val="00E11352"/>
    <w:rsid w:val="00E156F5"/>
    <w:rsid w:val="00E170DC"/>
    <w:rsid w:val="00E17546"/>
    <w:rsid w:val="00E20455"/>
    <w:rsid w:val="00E210B5"/>
    <w:rsid w:val="00E261B3"/>
    <w:rsid w:val="00E26818"/>
    <w:rsid w:val="00E27FFC"/>
    <w:rsid w:val="00E306EF"/>
    <w:rsid w:val="00E30B15"/>
    <w:rsid w:val="00E33237"/>
    <w:rsid w:val="00E40181"/>
    <w:rsid w:val="00E43B8E"/>
    <w:rsid w:val="00E54950"/>
    <w:rsid w:val="00E55FB3"/>
    <w:rsid w:val="00E56A01"/>
    <w:rsid w:val="00E56E8B"/>
    <w:rsid w:val="00E601E3"/>
    <w:rsid w:val="00E629A1"/>
    <w:rsid w:val="00E63721"/>
    <w:rsid w:val="00E6794C"/>
    <w:rsid w:val="00E71591"/>
    <w:rsid w:val="00E71CEB"/>
    <w:rsid w:val="00E7474F"/>
    <w:rsid w:val="00E76737"/>
    <w:rsid w:val="00E77901"/>
    <w:rsid w:val="00E80DE3"/>
    <w:rsid w:val="00E82C55"/>
    <w:rsid w:val="00E8787E"/>
    <w:rsid w:val="00E91262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4466"/>
    <w:rsid w:val="00ED195F"/>
    <w:rsid w:val="00ED5B9B"/>
    <w:rsid w:val="00ED6BAD"/>
    <w:rsid w:val="00ED6C01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19C"/>
    <w:rsid w:val="00F01E5F"/>
    <w:rsid w:val="00F024F3"/>
    <w:rsid w:val="00F029DC"/>
    <w:rsid w:val="00F02ABA"/>
    <w:rsid w:val="00F03701"/>
    <w:rsid w:val="00F0437A"/>
    <w:rsid w:val="00F05B79"/>
    <w:rsid w:val="00F101B8"/>
    <w:rsid w:val="00F10C7D"/>
    <w:rsid w:val="00F11037"/>
    <w:rsid w:val="00F16F1B"/>
    <w:rsid w:val="00F250A9"/>
    <w:rsid w:val="00F254D8"/>
    <w:rsid w:val="00F267AF"/>
    <w:rsid w:val="00F30FF4"/>
    <w:rsid w:val="00F3122E"/>
    <w:rsid w:val="00F32368"/>
    <w:rsid w:val="00F32BD1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12E5"/>
    <w:rsid w:val="00F51941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473"/>
    <w:rsid w:val="00F64696"/>
    <w:rsid w:val="00F65AA9"/>
    <w:rsid w:val="00F6768F"/>
    <w:rsid w:val="00F707EE"/>
    <w:rsid w:val="00F72115"/>
    <w:rsid w:val="00F72C2C"/>
    <w:rsid w:val="00F741F2"/>
    <w:rsid w:val="00F74770"/>
    <w:rsid w:val="00F768B8"/>
    <w:rsid w:val="00F76CAB"/>
    <w:rsid w:val="00F772C6"/>
    <w:rsid w:val="00F77F59"/>
    <w:rsid w:val="00F815B5"/>
    <w:rsid w:val="00F82E31"/>
    <w:rsid w:val="00F85195"/>
    <w:rsid w:val="00F868E3"/>
    <w:rsid w:val="00F938BA"/>
    <w:rsid w:val="00F93DB3"/>
    <w:rsid w:val="00F972B1"/>
    <w:rsid w:val="00F97919"/>
    <w:rsid w:val="00FA2C46"/>
    <w:rsid w:val="00FA3149"/>
    <w:rsid w:val="00FA3525"/>
    <w:rsid w:val="00FA5A53"/>
    <w:rsid w:val="00FB074C"/>
    <w:rsid w:val="00FB3501"/>
    <w:rsid w:val="00FB4246"/>
    <w:rsid w:val="00FB4769"/>
    <w:rsid w:val="00FB4CDA"/>
    <w:rsid w:val="00FB5B4E"/>
    <w:rsid w:val="00FB6481"/>
    <w:rsid w:val="00FB6D36"/>
    <w:rsid w:val="00FB6DBE"/>
    <w:rsid w:val="00FB7B07"/>
    <w:rsid w:val="00FC0965"/>
    <w:rsid w:val="00FC0F81"/>
    <w:rsid w:val="00FC252F"/>
    <w:rsid w:val="00FC395C"/>
    <w:rsid w:val="00FC5E8E"/>
    <w:rsid w:val="00FD17E1"/>
    <w:rsid w:val="00FD3766"/>
    <w:rsid w:val="00FD47C4"/>
    <w:rsid w:val="00FD7C6A"/>
    <w:rsid w:val="00FE0003"/>
    <w:rsid w:val="00FE2DCF"/>
    <w:rsid w:val="00FE3FA7"/>
    <w:rsid w:val="00FF2A4E"/>
    <w:rsid w:val="00FF2FCE"/>
    <w:rsid w:val="00FF4F7D"/>
    <w:rsid w:val="00FF6D9D"/>
    <w:rsid w:val="00FF7DD5"/>
    <w:rsid w:val="0D14D94A"/>
    <w:rsid w:val="1FC3AD3E"/>
    <w:rsid w:val="2E2AFD20"/>
    <w:rsid w:val="2E4B7CD8"/>
    <w:rsid w:val="3902FB7F"/>
    <w:rsid w:val="5DD2E232"/>
    <w:rsid w:val="68587AAD"/>
    <w:rsid w:val="71B89F9C"/>
    <w:rsid w:val="736286D6"/>
    <w:rsid w:val="78B68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F7775D38-92BF-4EB1-9217-7C440ED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337339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Body"/>
    <w:uiPriority w:val="3"/>
    <w:rsid w:val="003D7E30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337339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ind w:left="1191" w:hanging="397"/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eop">
    <w:name w:val="eop"/>
    <w:basedOn w:val="DefaultParagraphFont"/>
    <w:rsid w:val="00FD7C6A"/>
  </w:style>
  <w:style w:type="character" w:styleId="Mention">
    <w:name w:val="Mention"/>
    <w:basedOn w:val="DefaultParagraphFont"/>
    <w:uiPriority w:val="99"/>
    <w:unhideWhenUsed/>
    <w:rsid w:val="004631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ffh.vic.gov.au/social-services-regulation-re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social-services-regulation-re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gulationreform@dff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9" ma:contentTypeDescription="Create a new document." ma:contentTypeScope="" ma:versionID="5e77c234fafbc0bc5cafd6eaac43a073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SharingLinks.7745cc98-3912-4483-9986-8cb857ea8f4d.OrganizationEdit.34252ea4-8700-4f45-b46b-a2063b2e5a8a</DisplayName>
        <AccountId>582</AccountId>
        <AccountType/>
      </UserInfo>
      <UserInfo>
        <DisplayName>Tys van der Drift (DFFH)</DisplayName>
        <AccountId>91</AccountId>
        <AccountType/>
      </UserInfo>
      <UserInfo>
        <DisplayName>Laura Miller (DFFH)</DisplayName>
        <AccountId>24</AccountId>
        <AccountType/>
      </UserInfo>
      <UserInfo>
        <DisplayName>Caroline Reidy (DFFH)</DisplayName>
        <AccountId>21</AccountId>
        <AccountType/>
      </UserInfo>
      <UserInfo>
        <DisplayName>Travers Purton (DFFH)</DisplayName>
        <AccountId>17</AccountId>
        <AccountType/>
      </UserInfo>
      <UserInfo>
        <DisplayName>Rochelle Shaw (DFFH)</DisplayName>
        <AccountId>4024</AccountId>
        <AccountType/>
      </UserInfo>
      <UserInfo>
        <DisplayName>Jacki Holland (DFFH)</DisplayName>
        <AccountId>8764</AccountId>
        <AccountType/>
      </UserInfo>
      <UserInfo>
        <DisplayName>Jennifer Hughes (DFFH)</DisplayName>
        <AccountId>161</AccountId>
        <AccountType/>
      </UserInfo>
      <UserInfo>
        <DisplayName>Drew A Warne-Smith (DFFH)</DisplayName>
        <AccountId>7665</AccountId>
        <AccountType/>
      </UserInfo>
      <UserInfo>
        <DisplayName>Melissa Taylor (DFFH)</DisplayName>
        <AccountId>12</AccountId>
        <AccountType/>
      </UserInfo>
      <UserInfo>
        <DisplayName>Ash Bhattarai (DFFH)</DisplayName>
        <AccountId>3755</AccountId>
        <AccountType/>
      </UserInfo>
      <UserInfo>
        <DisplayName>Ruth Ward (DFFH)</DisplayName>
        <AccountId>98</AccountId>
        <AccountType/>
      </UserInfo>
      <UserInfo>
        <DisplayName>Elvira Saric (DFFH)</DisplayName>
        <AccountId>5361</AccountId>
        <AccountType/>
      </UserInfo>
      <UserInfo>
        <DisplayName>Allison Will (DFFH)</DisplayName>
        <AccountId>7166</AccountId>
        <AccountType/>
      </UserInfo>
      <UserInfo>
        <DisplayName>Rachel Tosolini (DFFH)</DisplayName>
        <AccountId>7667</AccountId>
        <AccountType/>
      </UserInfo>
    </SharedWithUsers>
    <Caption xmlns="06badf41-c0a1-41a6-983a-efd542c2c8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2F1B8-3631-42EA-8E11-5D994E286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51ef5222-d273-4e86-adbf-8aa3d9e99a8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2207</Words>
  <Characters>13047</Characters>
  <Application>Microsoft Office Word</Application>
  <DocSecurity>0</DocSecurity>
  <Lines>266</Lines>
  <Paragraphs>214</Paragraphs>
  <ScaleCrop>false</ScaleCrop>
  <Company>Victoria State Government, Department of Families, Fairness and Housing</Company>
  <LinksUpToDate>false</LinksUpToDate>
  <CharactersWithSpaces>15040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Regulation Taskforce - terms of reference</dc:title>
  <dc:subject>Social Services Regulation Taskforce</dc:subject>
  <dc:creator>System Reform and Workforce</dc:creator>
  <cp:keywords>social services regulation, taskforce, terms of reference</cp:keywords>
  <cp:revision>2</cp:revision>
  <cp:lastPrinted>2021-01-28T10:27:00Z</cp:lastPrinted>
  <dcterms:created xsi:type="dcterms:W3CDTF">2024-05-23T01:30:00Z</dcterms:created>
  <dcterms:modified xsi:type="dcterms:W3CDTF">2024-05-23T01:30:00Z</dcterms:modified>
  <cp:category>DFFH teal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GrammarlyDocumentId">
    <vt:lpwstr>05eb11556176e1680289630be6047152d1333797aadefaac05219272ff65a73e</vt:lpwstr>
  </property>
</Properties>
</file>