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A8325E" w14:textId="25198992" w:rsidR="0074696E" w:rsidRPr="004C6EEE" w:rsidRDefault="0074696E" w:rsidP="00AD784C">
      <w:pPr>
        <w:pStyle w:val="Spacerparatopoffirstpage"/>
      </w:pPr>
    </w:p>
    <w:p w14:paraId="22A124A1" w14:textId="77777777" w:rsidR="00A62D44" w:rsidRPr="004C6EEE" w:rsidRDefault="00A62D44" w:rsidP="004C6EEE">
      <w:pPr>
        <w:pStyle w:val="Sectionbreakfirstpage"/>
        <w:sectPr w:rsidR="00A62D44" w:rsidRPr="004C6EEE" w:rsidSect="00B04489">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851" w:gutter="0"/>
          <w:cols w:space="708"/>
          <w:docGrid w:linePitch="360"/>
        </w:sectPr>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8931"/>
      </w:tblGrid>
      <w:tr w:rsidR="00AD784C" w14:paraId="765659DC" w14:textId="77777777" w:rsidTr="49665657">
        <w:trPr>
          <w:trHeight w:val="1418"/>
        </w:trPr>
        <w:tc>
          <w:tcPr>
            <w:tcW w:w="8931" w:type="dxa"/>
            <w:vAlign w:val="bottom"/>
          </w:tcPr>
          <w:p w14:paraId="1B06FE4C" w14:textId="29C159B6" w:rsidR="00AD784C" w:rsidRPr="00161AA0" w:rsidRDefault="002B5D70" w:rsidP="00EC20FF">
            <w:pPr>
              <w:pStyle w:val="Documenttitle"/>
            </w:pPr>
            <w:r>
              <w:t>S</w:t>
            </w:r>
            <w:r w:rsidR="00FC481A">
              <w:t>ocial ser</w:t>
            </w:r>
            <w:r w:rsidR="004153FD">
              <w:t>vices regulation reform</w:t>
            </w:r>
            <w:r w:rsidR="11458CB6">
              <w:t xml:space="preserve"> information sheet</w:t>
            </w:r>
          </w:p>
        </w:tc>
      </w:tr>
      <w:tr w:rsidR="000B2117" w14:paraId="5DF317EC" w14:textId="77777777" w:rsidTr="49665657">
        <w:trPr>
          <w:trHeight w:val="1247"/>
        </w:trPr>
        <w:tc>
          <w:tcPr>
            <w:tcW w:w="8931" w:type="dxa"/>
          </w:tcPr>
          <w:p w14:paraId="69C24C39" w14:textId="2011C0E3" w:rsidR="000B2117" w:rsidRPr="00A1389F" w:rsidRDefault="002B5D70" w:rsidP="00CF4148">
            <w:pPr>
              <w:pStyle w:val="Documentsubtitle"/>
            </w:pPr>
            <w:r>
              <w:t>September</w:t>
            </w:r>
            <w:r w:rsidR="74628B5F">
              <w:t xml:space="preserve"> </w:t>
            </w:r>
            <w:r w:rsidR="001F4016">
              <w:t xml:space="preserve">2021 </w:t>
            </w:r>
          </w:p>
        </w:tc>
      </w:tr>
      <w:tr w:rsidR="00CF4148" w14:paraId="5F5E6105" w14:textId="77777777" w:rsidTr="49665657">
        <w:trPr>
          <w:trHeight w:val="284"/>
        </w:trPr>
        <w:tc>
          <w:tcPr>
            <w:tcW w:w="8931" w:type="dxa"/>
          </w:tcPr>
          <w:p w14:paraId="45D389E8" w14:textId="74334762" w:rsidR="00CF4148" w:rsidRPr="00250DC4" w:rsidRDefault="00C43145" w:rsidP="00CF4148">
            <w:pPr>
              <w:pStyle w:val="Bannermarking"/>
            </w:pPr>
            <w:r>
              <w:fldChar w:fldCharType="begin"/>
            </w:r>
            <w:r>
              <w:instrText>FILLIN  "Type the protective marking" \d OFFICIAL \o  \* MERGEFORMAT</w:instrText>
            </w:r>
            <w:r>
              <w:fldChar w:fldCharType="separate"/>
            </w:r>
            <w:r w:rsidR="00CF4148">
              <w:t>OFFICIAL</w:t>
            </w:r>
            <w:r>
              <w:fldChar w:fldCharType="end"/>
            </w:r>
          </w:p>
        </w:tc>
      </w:tr>
    </w:tbl>
    <w:p w14:paraId="0A71311D" w14:textId="3F1584D5" w:rsidR="00500F4C" w:rsidRPr="00EF0F82" w:rsidRDefault="00B10197" w:rsidP="009D18F6">
      <w:pPr>
        <w:pStyle w:val="Heading1"/>
        <w:rPr>
          <w:color w:val="87189D"/>
          <w:sz w:val="24"/>
          <w:szCs w:val="24"/>
        </w:rPr>
      </w:pPr>
      <w:bookmarkStart w:id="0" w:name="_Toc63257285"/>
      <w:r w:rsidRPr="002130BB">
        <w:rPr>
          <w:noProof/>
          <w:lang w:eastAsia="en-AU"/>
        </w:rPr>
        <w:drawing>
          <wp:anchor distT="0" distB="0" distL="114300" distR="114300" simplePos="0" relativeHeight="251658240" behindDoc="1" locked="1" layoutInCell="0" allowOverlap="1" wp14:anchorId="0FE33ABE" wp14:editId="064C7060">
            <wp:simplePos x="0" y="0"/>
            <wp:positionH relativeFrom="page">
              <wp:align>right</wp:align>
            </wp:positionH>
            <wp:positionV relativeFrom="page">
              <wp:align>top</wp:align>
            </wp:positionV>
            <wp:extent cx="1260000" cy="2448000"/>
            <wp:effectExtent l="0" t="0" r="0" b="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17"/>
                    <a:stretch>
                      <a:fillRect/>
                    </a:stretch>
                  </pic:blipFill>
                  <pic:spPr bwMode="auto">
                    <a:xfrm>
                      <a:off x="0" y="0"/>
                      <a:ext cx="1260000" cy="244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00F4C" w:rsidRPr="002130BB">
        <w:rPr>
          <w:noProof/>
          <w:lang w:eastAsia="en-AU"/>
        </w:rPr>
        <w:drawing>
          <wp:anchor distT="0" distB="0" distL="114300" distR="114300" simplePos="0" relativeHeight="251658241" behindDoc="1" locked="1" layoutInCell="0" allowOverlap="1" wp14:anchorId="5B5FD399" wp14:editId="06456EE0">
            <wp:simplePos x="0" y="0"/>
            <wp:positionH relativeFrom="page">
              <wp:align>right</wp:align>
            </wp:positionH>
            <wp:positionV relativeFrom="page">
              <wp:align>top</wp:align>
            </wp:positionV>
            <wp:extent cx="1260000" cy="244800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17"/>
                    <a:stretch>
                      <a:fillRect/>
                    </a:stretch>
                  </pic:blipFill>
                  <pic:spPr bwMode="auto">
                    <a:xfrm>
                      <a:off x="0" y="0"/>
                      <a:ext cx="1260000" cy="244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00F4C" w:rsidRPr="002130BB">
        <w:t>Overview</w:t>
      </w:r>
    </w:p>
    <w:p w14:paraId="3375C90D" w14:textId="77777777" w:rsidR="00500F4C" w:rsidRDefault="00500F4C" w:rsidP="00500F4C">
      <w:pPr>
        <w:pStyle w:val="Body"/>
      </w:pPr>
      <w:r w:rsidRPr="00975E4D">
        <w:t>The Department of Families, Fairness and Housing (the department) is making changes to the way that social services are regulated</w:t>
      </w:r>
      <w:r>
        <w:t>.</w:t>
      </w:r>
      <w:r w:rsidRPr="00EF37D5">
        <w:t xml:space="preserve"> </w:t>
      </w:r>
    </w:p>
    <w:p w14:paraId="48AED54F" w14:textId="77777777" w:rsidR="00500F4C" w:rsidRPr="006E40BC" w:rsidRDefault="00500F4C" w:rsidP="00500F4C">
      <w:pPr>
        <w:pStyle w:val="Body"/>
      </w:pPr>
      <w:r w:rsidRPr="006968A7">
        <w:t>The social</w:t>
      </w:r>
      <w:r>
        <w:t xml:space="preserve"> services regulation reform will </w:t>
      </w:r>
      <w:r w:rsidRPr="006968A7">
        <w:t>establish a modern</w:t>
      </w:r>
      <w:r w:rsidRPr="006E40BC">
        <w:t xml:space="preserve"> and </w:t>
      </w:r>
      <w:r w:rsidRPr="006968A7">
        <w:t>fit-for-purpose</w:t>
      </w:r>
      <w:r w:rsidRPr="006E40BC">
        <w:t xml:space="preserve"> regulatory framework</w:t>
      </w:r>
      <w:r>
        <w:t xml:space="preserve"> </w:t>
      </w:r>
      <w:r w:rsidRPr="006968A7">
        <w:t xml:space="preserve">administered </w:t>
      </w:r>
      <w:r>
        <w:t xml:space="preserve">by </w:t>
      </w:r>
      <w:r w:rsidRPr="006968A7">
        <w:t>an independent regulatory body</w:t>
      </w:r>
      <w:r>
        <w:t>. This will b</w:t>
      </w:r>
      <w:r w:rsidRPr="006968A7">
        <w:t>etter support safe service delivery and service users’ human rights, including freedom from harm, neglect and abuse</w:t>
      </w:r>
      <w:r>
        <w:t>. It will also provide</w:t>
      </w:r>
      <w:r w:rsidRPr="006E40BC">
        <w:t xml:space="preserve"> a separation from policy design, funding models and service agreement management</w:t>
      </w:r>
      <w:r>
        <w:t xml:space="preserve"> and </w:t>
      </w:r>
      <w:r w:rsidRPr="006E40BC">
        <w:t>strengthen the regulation of department</w:t>
      </w:r>
      <w:r>
        <w:t>-</w:t>
      </w:r>
      <w:r w:rsidRPr="006E40BC">
        <w:t>delivered services</w:t>
      </w:r>
      <w:r>
        <w:t>.</w:t>
      </w:r>
    </w:p>
    <w:p w14:paraId="763A0C84" w14:textId="77777777" w:rsidR="00500F4C" w:rsidRDefault="00500F4C" w:rsidP="00500F4C">
      <w:pPr>
        <w:pStyle w:val="Body"/>
      </w:pPr>
      <w:r>
        <w:t xml:space="preserve">New </w:t>
      </w:r>
      <w:r w:rsidRPr="006E40BC">
        <w:t>Social Services Standards will form the foundation of the regulatory framework. These will replace the current Human Services Standards</w:t>
      </w:r>
      <w:r>
        <w:t xml:space="preserve"> and</w:t>
      </w:r>
      <w:r w:rsidRPr="006E40BC">
        <w:t xml:space="preserve"> the Accommodation and Personal Support Standards.</w:t>
      </w:r>
      <w:r>
        <w:t xml:space="preserve"> Service users were engaged to inform t</w:t>
      </w:r>
      <w:r w:rsidRPr="006E40BC">
        <w:t xml:space="preserve">he </w:t>
      </w:r>
      <w:r>
        <w:t>design of</w:t>
      </w:r>
      <w:r w:rsidRPr="006E40BC">
        <w:t xml:space="preserve"> new standards</w:t>
      </w:r>
      <w:r>
        <w:t>, which</w:t>
      </w:r>
      <w:r w:rsidRPr="006E40BC">
        <w:t xml:space="preserve"> focus on safe service delivery and human rights</w:t>
      </w:r>
      <w:r>
        <w:t>.</w:t>
      </w:r>
      <w:r w:rsidRPr="006E40BC">
        <w:t xml:space="preserve"> </w:t>
      </w:r>
    </w:p>
    <w:p w14:paraId="73E77D9F" w14:textId="77777777" w:rsidR="00500F4C" w:rsidRPr="00CC4029" w:rsidRDefault="00500F4C" w:rsidP="00CC4029">
      <w:pPr>
        <w:pStyle w:val="Heading2"/>
      </w:pPr>
      <w:r w:rsidRPr="00CC4029">
        <w:t xml:space="preserve">Rationale for reform </w:t>
      </w:r>
    </w:p>
    <w:p w14:paraId="12CB4595" w14:textId="77777777" w:rsidR="00500F4C" w:rsidRDefault="00500F4C" w:rsidP="009D18F6">
      <w:pPr>
        <w:pStyle w:val="Heading3"/>
      </w:pPr>
      <w:r>
        <w:t>Department</w:t>
      </w:r>
    </w:p>
    <w:p w14:paraId="1B3932AF" w14:textId="77777777" w:rsidR="00500F4C" w:rsidRPr="00A83A89" w:rsidRDefault="00500F4C" w:rsidP="00500F4C">
      <w:pPr>
        <w:pStyle w:val="Body"/>
      </w:pPr>
      <w:r>
        <w:t>Regulation plays a crucial role in reducing risks of harm to children, young people and adults who are experiencing vulnerability. Regulation obliges service providers to meet fundamental safety standards. It protects human rights by enforcing these core safety requirements and enabling timely interventions to help prevent neglect, abuse or exploitation.</w:t>
      </w:r>
    </w:p>
    <w:p w14:paraId="7C5A16F9" w14:textId="77777777" w:rsidR="00500F4C" w:rsidRDefault="00500F4C" w:rsidP="009D18F6">
      <w:pPr>
        <w:pStyle w:val="Heading3"/>
      </w:pPr>
      <w:r>
        <w:t xml:space="preserve">Service providers </w:t>
      </w:r>
    </w:p>
    <w:p w14:paraId="27303F87" w14:textId="77777777" w:rsidR="00500F4C" w:rsidRDefault="00500F4C" w:rsidP="00500F4C">
      <w:pPr>
        <w:pStyle w:val="Body"/>
      </w:pPr>
      <w:r>
        <w:t>The department has heard that while the many social services providers are</w:t>
      </w:r>
      <w:r w:rsidRPr="00E23422">
        <w:t xml:space="preserve"> currently subject to various accountability measures, these arrangements are fragmented and inefficient. The social services sector has highlighted the need for regulation reform to support its commitment to prioritising safety and to create greater efficiencies. The sector has also </w:t>
      </w:r>
      <w:r>
        <w:t>raised that</w:t>
      </w:r>
      <w:r w:rsidRPr="00E23422">
        <w:t xml:space="preserve"> the current accountability measures and processes are complex and burdensome. </w:t>
      </w:r>
    </w:p>
    <w:p w14:paraId="0101D545" w14:textId="77777777" w:rsidR="00500F4C" w:rsidRPr="00E23422" w:rsidRDefault="00500F4C" w:rsidP="00500F4C">
      <w:pPr>
        <w:pStyle w:val="Body"/>
      </w:pPr>
      <w:r>
        <w:t xml:space="preserve">The regulator will be independent and report directly to the Minister. These reforms will create a separation from the functions of system stewardship, policy design, funding and contract management. These roles will continue to sit with the department.  </w:t>
      </w:r>
    </w:p>
    <w:p w14:paraId="3E5F6686" w14:textId="77777777" w:rsidR="00500F4C" w:rsidRPr="00E04D88" w:rsidRDefault="00500F4C" w:rsidP="009D18F6">
      <w:pPr>
        <w:pStyle w:val="Heading3"/>
      </w:pPr>
      <w:r>
        <w:t xml:space="preserve">Services users </w:t>
      </w:r>
    </w:p>
    <w:p w14:paraId="6CECEDD5" w14:textId="2595B3E1" w:rsidR="00500F4C" w:rsidRPr="00E04D88" w:rsidRDefault="00500F4C" w:rsidP="00500F4C">
      <w:pPr>
        <w:pStyle w:val="Body"/>
      </w:pPr>
      <w:r w:rsidRPr="008E4CC1">
        <w:t xml:space="preserve">In 2019, the department </w:t>
      </w:r>
      <w:r>
        <w:t xml:space="preserve">engaged a consultant to undertake a human-centred design process with </w:t>
      </w:r>
      <w:r w:rsidRPr="008E4CC1">
        <w:t xml:space="preserve">service users </w:t>
      </w:r>
      <w:r>
        <w:t>to gain insight into</w:t>
      </w:r>
      <w:r w:rsidRPr="008E4CC1">
        <w:t xml:space="preserve"> </w:t>
      </w:r>
      <w:r>
        <w:t xml:space="preserve">their </w:t>
      </w:r>
      <w:r w:rsidRPr="008E4CC1">
        <w:t>experiences accessing social services</w:t>
      </w:r>
      <w:r>
        <w:rPr>
          <w:rStyle w:val="FootnoteReference"/>
          <w:sz w:val="18"/>
          <w:szCs w:val="16"/>
          <w:vertAlign w:val="baseline"/>
        </w:rPr>
        <w:t>.</w:t>
      </w:r>
      <w:r w:rsidRPr="000A00B3">
        <w:rPr>
          <w:sz w:val="18"/>
          <w:szCs w:val="16"/>
        </w:rPr>
        <w:t xml:space="preserve"> </w:t>
      </w:r>
      <w:r w:rsidRPr="008E4CC1">
        <w:t xml:space="preserve">This feedback laid the groundwork for the development of the new Social Services Standards, which are at the centre of the new </w:t>
      </w:r>
      <w:r>
        <w:t>framework</w:t>
      </w:r>
      <w:r w:rsidRPr="008E4CC1">
        <w:t xml:space="preserve">.   </w:t>
      </w:r>
    </w:p>
    <w:p w14:paraId="46D9A022" w14:textId="7D04595D" w:rsidR="00065D4B" w:rsidRPr="009D18F6" w:rsidRDefault="00065D4B" w:rsidP="009D18F6">
      <w:pPr>
        <w:pStyle w:val="Heading2"/>
      </w:pPr>
      <w:r w:rsidRPr="00CC4029">
        <w:lastRenderedPageBreak/>
        <w:t>Regulator</w:t>
      </w:r>
      <w:r w:rsidRPr="009D18F6">
        <w:rPr>
          <w:rStyle w:val="normaltextrun"/>
          <w:rFonts w:eastAsia="MS Gothic"/>
        </w:rPr>
        <w:t> </w:t>
      </w:r>
      <w:r w:rsidRPr="009D18F6">
        <w:rPr>
          <w:rStyle w:val="eop"/>
          <w:rFonts w:eastAsia="MS Mincho"/>
        </w:rPr>
        <w:t> </w:t>
      </w:r>
    </w:p>
    <w:p w14:paraId="25E1242D" w14:textId="208203CC" w:rsidR="00065D4B" w:rsidRPr="00F30873" w:rsidRDefault="00065D4B" w:rsidP="00F30873">
      <w:pPr>
        <w:pStyle w:val="Body"/>
      </w:pPr>
      <w:r w:rsidRPr="00F30873">
        <w:rPr>
          <w:rStyle w:val="normaltextrun"/>
        </w:rPr>
        <w:t>The reforms involve the establishment of a new regulator that reports directly to the Minister. This will create a separation from the functions of system stewardship, policy design, funding and contract management. The </w:t>
      </w:r>
      <w:r w:rsidR="0047029E">
        <w:rPr>
          <w:rStyle w:val="normaltextrun"/>
        </w:rPr>
        <w:t>r</w:t>
      </w:r>
      <w:r w:rsidRPr="00F30873">
        <w:rPr>
          <w:rStyle w:val="normaltextrun"/>
        </w:rPr>
        <w:t xml:space="preserve">egulator will regulate social services against the new Social Services Standards and the Worker and Carer Exclusion Scheme. The Minister will have the ability to give general directions to the </w:t>
      </w:r>
      <w:r w:rsidR="00836141">
        <w:rPr>
          <w:rStyle w:val="normaltextrun"/>
        </w:rPr>
        <w:t>r</w:t>
      </w:r>
      <w:r w:rsidRPr="00F30873">
        <w:rPr>
          <w:rStyle w:val="normaltextrun"/>
        </w:rPr>
        <w:t>egulator in relation to its functions. </w:t>
      </w:r>
      <w:r w:rsidRPr="00F30873">
        <w:rPr>
          <w:rStyle w:val="eop"/>
        </w:rPr>
        <w:t> </w:t>
      </w:r>
    </w:p>
    <w:p w14:paraId="4935946F" w14:textId="77777777" w:rsidR="00065D4B" w:rsidRPr="00F30873" w:rsidRDefault="00065D4B" w:rsidP="00F30873">
      <w:pPr>
        <w:pStyle w:val="Heading2"/>
      </w:pPr>
      <w:r w:rsidRPr="00CC4029">
        <w:t>Standards</w:t>
      </w:r>
      <w:r w:rsidRPr="00F30873">
        <w:rPr>
          <w:rStyle w:val="normaltextrun"/>
          <w:rFonts w:eastAsia="MS Gothic"/>
        </w:rPr>
        <w:t> </w:t>
      </w:r>
      <w:r w:rsidRPr="00F30873">
        <w:rPr>
          <w:rStyle w:val="eop"/>
          <w:rFonts w:eastAsia="MS Mincho"/>
        </w:rPr>
        <w:t> </w:t>
      </w:r>
    </w:p>
    <w:p w14:paraId="278C481C" w14:textId="382CA33E" w:rsidR="00065D4B" w:rsidRDefault="00065D4B" w:rsidP="00F30873">
      <w:pPr>
        <w:pStyle w:val="Body"/>
        <w:rPr>
          <w:rFonts w:ascii="Segoe UI" w:hAnsi="Segoe UI" w:cs="Segoe UI"/>
          <w:sz w:val="18"/>
          <w:szCs w:val="18"/>
        </w:rPr>
      </w:pPr>
      <w:r w:rsidRPr="49665657">
        <w:rPr>
          <w:rStyle w:val="normaltextrun"/>
          <w:rFonts w:cs="Arial"/>
        </w:rPr>
        <w:t>Instead of meeting the Human Service Standards or conditions as per individual funding agreements, providers will be required to meet the Social Service Standards. The development of Social Service Standards </w:t>
      </w:r>
      <w:r w:rsidR="36C8D8C6" w:rsidRPr="49665657">
        <w:rPr>
          <w:rStyle w:val="normaltextrun"/>
          <w:rFonts w:cs="Arial"/>
        </w:rPr>
        <w:t>has</w:t>
      </w:r>
      <w:r w:rsidRPr="49665657">
        <w:rPr>
          <w:rStyle w:val="normaltextrun"/>
          <w:rFonts w:cs="Arial"/>
        </w:rPr>
        <w:t xml:space="preserve"> been informed by consultation and feedback from peak bodies, providers and service users. </w:t>
      </w:r>
      <w:r w:rsidRPr="49665657">
        <w:rPr>
          <w:rStyle w:val="eop"/>
          <w:rFonts w:cs="Arial"/>
        </w:rPr>
        <w:t> </w:t>
      </w:r>
    </w:p>
    <w:p w14:paraId="4BB70F39" w14:textId="76A8534B" w:rsidR="00065D4B" w:rsidRDefault="00065D4B" w:rsidP="00F30873">
      <w:pPr>
        <w:pStyle w:val="Body"/>
        <w:rPr>
          <w:rFonts w:ascii="Segoe UI" w:hAnsi="Segoe UI" w:cs="Segoe UI"/>
          <w:sz w:val="18"/>
          <w:szCs w:val="18"/>
        </w:rPr>
      </w:pPr>
      <w:r>
        <w:rPr>
          <w:rStyle w:val="normaltextrun"/>
          <w:rFonts w:cs="Arial"/>
          <w:szCs w:val="21"/>
        </w:rPr>
        <w:t>If an organisation doesn’t meet the standards, and there is a significant risk of harm to service users</w:t>
      </w:r>
      <w:r w:rsidR="007F7C9C">
        <w:rPr>
          <w:rStyle w:val="normaltextrun"/>
          <w:rFonts w:cs="Arial"/>
          <w:szCs w:val="21"/>
        </w:rPr>
        <w:t>, f</w:t>
      </w:r>
      <w:r>
        <w:rPr>
          <w:rStyle w:val="normaltextrun"/>
          <w:rFonts w:cs="Arial"/>
          <w:szCs w:val="21"/>
        </w:rPr>
        <w:t>urther actions may be taken by the regulator. This could include investigation, imposing conditions, revoking registration or appointing an administrator. Your organisation will have the right to seek a review of the decisions made by the regulator. </w:t>
      </w:r>
      <w:r>
        <w:rPr>
          <w:rStyle w:val="eop"/>
          <w:rFonts w:cs="Arial"/>
          <w:szCs w:val="21"/>
        </w:rPr>
        <w:t> </w:t>
      </w:r>
    </w:p>
    <w:p w14:paraId="48CFC843" w14:textId="77777777" w:rsidR="00065D4B" w:rsidRPr="00F30873" w:rsidRDefault="00065D4B" w:rsidP="00F30873">
      <w:pPr>
        <w:pStyle w:val="Heading2"/>
      </w:pPr>
      <w:r w:rsidRPr="00CC4029">
        <w:t>Registration</w:t>
      </w:r>
      <w:r w:rsidRPr="00F30873">
        <w:rPr>
          <w:rStyle w:val="normaltextrun"/>
          <w:rFonts w:eastAsia="MS Gothic"/>
        </w:rPr>
        <w:t> </w:t>
      </w:r>
      <w:r w:rsidRPr="00F30873">
        <w:rPr>
          <w:rStyle w:val="eop"/>
          <w:rFonts w:eastAsia="MS Mincho"/>
        </w:rPr>
        <w:t> </w:t>
      </w:r>
    </w:p>
    <w:p w14:paraId="664281E9" w14:textId="178CF77F" w:rsidR="00065D4B" w:rsidRPr="00F30873" w:rsidRDefault="00065D4B" w:rsidP="00F30873">
      <w:pPr>
        <w:pStyle w:val="Body"/>
      </w:pPr>
      <w:r w:rsidRPr="49665657">
        <w:rPr>
          <w:rStyle w:val="normaltextrun"/>
        </w:rPr>
        <w:t xml:space="preserve">If </w:t>
      </w:r>
      <w:r w:rsidR="002B5D70" w:rsidRPr="49665657">
        <w:rPr>
          <w:rStyle w:val="normaltextrun"/>
        </w:rPr>
        <w:t>providers</w:t>
      </w:r>
      <w:r w:rsidRPr="49665657">
        <w:rPr>
          <w:rStyle w:val="normaltextrun"/>
        </w:rPr>
        <w:t xml:space="preserve"> are already registered, </w:t>
      </w:r>
      <w:r w:rsidR="002B5D70" w:rsidRPr="49665657">
        <w:rPr>
          <w:rStyle w:val="normaltextrun"/>
        </w:rPr>
        <w:t>this</w:t>
      </w:r>
      <w:r w:rsidRPr="49665657">
        <w:rPr>
          <w:rStyle w:val="normaltextrun"/>
        </w:rPr>
        <w:t xml:space="preserve"> registration will be transferred to the new scheme</w:t>
      </w:r>
      <w:r w:rsidR="002B5D70" w:rsidRPr="49665657">
        <w:rPr>
          <w:rStyle w:val="normaltextrun"/>
        </w:rPr>
        <w:t>. Providers will</w:t>
      </w:r>
      <w:r w:rsidRPr="49665657">
        <w:rPr>
          <w:rStyle w:val="normaltextrun"/>
        </w:rPr>
        <w:t xml:space="preserve"> be contacted by the regulator about </w:t>
      </w:r>
      <w:r w:rsidR="002B5D70" w:rsidRPr="49665657">
        <w:rPr>
          <w:rStyle w:val="normaltextrun"/>
        </w:rPr>
        <w:t>their</w:t>
      </w:r>
      <w:r w:rsidRPr="49665657">
        <w:rPr>
          <w:rStyle w:val="normaltextrun"/>
        </w:rPr>
        <w:t xml:space="preserve"> changing obligations. </w:t>
      </w:r>
      <w:r w:rsidRPr="49665657">
        <w:rPr>
          <w:rStyle w:val="eop"/>
        </w:rPr>
        <w:t> </w:t>
      </w:r>
    </w:p>
    <w:p w14:paraId="207EC41A" w14:textId="77777777" w:rsidR="00065D4B" w:rsidRPr="00F30873" w:rsidRDefault="00065D4B" w:rsidP="00F30873">
      <w:pPr>
        <w:pStyle w:val="Body"/>
      </w:pPr>
      <w:r w:rsidRPr="00F30873">
        <w:rPr>
          <w:rStyle w:val="normaltextrun"/>
        </w:rPr>
        <w:t>Previously unregistered providers will need to meet requirements relating to the safety of services and the competence and skills of providers and staff and the suitability of premises used. Providers who have not been registered before will be phased into the new scheme.</w:t>
      </w:r>
      <w:r w:rsidRPr="00F30873">
        <w:rPr>
          <w:rStyle w:val="eop"/>
        </w:rPr>
        <w:t> </w:t>
      </w:r>
    </w:p>
    <w:p w14:paraId="3A35E7F9" w14:textId="77777777" w:rsidR="00065D4B" w:rsidRPr="00F30873" w:rsidRDefault="00065D4B" w:rsidP="00F30873">
      <w:pPr>
        <w:pStyle w:val="Body"/>
      </w:pPr>
      <w:r w:rsidRPr="00F30873">
        <w:rPr>
          <w:rStyle w:val="normaltextrun"/>
        </w:rPr>
        <w:t>Providers will only need to register once. </w:t>
      </w:r>
      <w:r w:rsidRPr="00F30873">
        <w:rPr>
          <w:rStyle w:val="eop"/>
        </w:rPr>
        <w:t> </w:t>
      </w:r>
    </w:p>
    <w:p w14:paraId="4110FCB8" w14:textId="77777777" w:rsidR="00065D4B" w:rsidRPr="00F30873" w:rsidRDefault="00065D4B" w:rsidP="00F30873">
      <w:pPr>
        <w:pStyle w:val="Heading2"/>
      </w:pPr>
      <w:r w:rsidRPr="00CC4029">
        <w:t>Reporting</w:t>
      </w:r>
      <w:r w:rsidRPr="00F30873">
        <w:rPr>
          <w:rStyle w:val="eop"/>
          <w:rFonts w:eastAsia="MS Mincho"/>
        </w:rPr>
        <w:t> </w:t>
      </w:r>
    </w:p>
    <w:p w14:paraId="43BC00B3" w14:textId="497214BD" w:rsidR="00065D4B" w:rsidRPr="00A97CF1" w:rsidRDefault="00065D4B" w:rsidP="49665657">
      <w:pPr>
        <w:pStyle w:val="Body"/>
        <w:rPr>
          <w:rStyle w:val="eop"/>
        </w:rPr>
      </w:pPr>
      <w:r w:rsidRPr="49665657">
        <w:rPr>
          <w:rStyle w:val="normaltextrun"/>
        </w:rPr>
        <w:t xml:space="preserve">One of the aims of the reforms is to reduce the duplication of processes for organisations. While organisations will still have reporting requirements, the regulator will try and liaise with other organisations so </w:t>
      </w:r>
      <w:r w:rsidR="002B5D70" w:rsidRPr="49665657">
        <w:rPr>
          <w:rStyle w:val="normaltextrun"/>
        </w:rPr>
        <w:t>it</w:t>
      </w:r>
      <w:r w:rsidRPr="49665657">
        <w:rPr>
          <w:rStyle w:val="normaltextrun"/>
        </w:rPr>
        <w:t xml:space="preserve"> will only have to </w:t>
      </w:r>
      <w:r w:rsidR="002B5D70" w:rsidRPr="49665657">
        <w:rPr>
          <w:rStyle w:val="normaltextrun"/>
        </w:rPr>
        <w:t>be done</w:t>
      </w:r>
      <w:r w:rsidRPr="49665657">
        <w:rPr>
          <w:rStyle w:val="normaltextrun"/>
        </w:rPr>
        <w:t xml:space="preserve"> once. It is intended to address the administrative burden that currently</w:t>
      </w:r>
      <w:r w:rsidR="00011169" w:rsidRPr="49665657">
        <w:rPr>
          <w:rStyle w:val="normaltextrun"/>
        </w:rPr>
        <w:t xml:space="preserve"> requires </w:t>
      </w:r>
      <w:r w:rsidRPr="49665657">
        <w:rPr>
          <w:rStyle w:val="normaltextrun"/>
        </w:rPr>
        <w:t>organisations to report the same incident to multiple oversight bodies. The regulator will have mutual recognition processes to share information across relevant bodies. This might include other relevant commissions, departments and safeguarding bodies</w:t>
      </w:r>
      <w:r w:rsidR="002B5D70" w:rsidRPr="49665657">
        <w:rPr>
          <w:rStyle w:val="normaltextrun"/>
        </w:rPr>
        <w:t>.</w:t>
      </w:r>
    </w:p>
    <w:p w14:paraId="1E73B569" w14:textId="3C5BBC1D" w:rsidR="00065D4B" w:rsidRDefault="00065D4B" w:rsidP="00065D4B">
      <w:pPr>
        <w:pStyle w:val="paragraph"/>
        <w:spacing w:before="0" w:beforeAutospacing="0" w:after="0" w:afterAutospacing="0"/>
        <w:textAlignment w:val="baseline"/>
        <w:rPr>
          <w:rFonts w:ascii="Segoe UI" w:hAnsi="Segoe UI" w:cs="Segoe UI"/>
          <w:i/>
          <w:iCs/>
          <w:color w:val="1F497D"/>
          <w:sz w:val="18"/>
          <w:szCs w:val="18"/>
        </w:rPr>
      </w:pPr>
      <w:r>
        <w:rPr>
          <w:noProof/>
        </w:rPr>
        <w:lastRenderedPageBreak/>
        <w:drawing>
          <wp:inline distT="0" distB="0" distL="0" distR="0" wp14:anchorId="4CAF1CB5" wp14:editId="147A1496">
            <wp:extent cx="4038600" cy="3390900"/>
            <wp:effectExtent l="0" t="0" r="0" b="0"/>
            <wp:docPr id="9" name="Picture 9" descr="Diagram showing the relationship between complaints and advocacy bodies, funders, other regulators and oversight bodies, and the regulat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 showing the relationship between complaints and advocacy bodies, funders, other regulators and oversight bodies, and the regulator. "/>
                    <pic:cNvPicPr/>
                  </pic:nvPicPr>
                  <pic:blipFill>
                    <a:blip r:embed="rId18">
                      <a:extLst>
                        <a:ext uri="{28A0092B-C50C-407E-A947-70E740481C1C}">
                          <a14:useLocalDpi xmlns:a14="http://schemas.microsoft.com/office/drawing/2010/main" val="0"/>
                        </a:ext>
                      </a:extLst>
                    </a:blip>
                    <a:stretch>
                      <a:fillRect/>
                    </a:stretch>
                  </pic:blipFill>
                  <pic:spPr>
                    <a:xfrm>
                      <a:off x="0" y="0"/>
                      <a:ext cx="4038600" cy="3390900"/>
                    </a:xfrm>
                    <a:prstGeom prst="rect">
                      <a:avLst/>
                    </a:prstGeom>
                  </pic:spPr>
                </pic:pic>
              </a:graphicData>
            </a:graphic>
          </wp:inline>
        </w:drawing>
      </w:r>
      <w:r w:rsidRPr="57510F93">
        <w:rPr>
          <w:rStyle w:val="eop"/>
          <w:rFonts w:eastAsia="MS Mincho" w:cs="Arial"/>
          <w:i/>
          <w:iCs/>
          <w:color w:val="1F497D" w:themeColor="text2"/>
          <w:sz w:val="20"/>
          <w:szCs w:val="20"/>
        </w:rPr>
        <w:t> </w:t>
      </w:r>
    </w:p>
    <w:p w14:paraId="2D407A95" w14:textId="77980FB1" w:rsidR="00AB5684" w:rsidRPr="00487E16" w:rsidRDefault="00AB5684" w:rsidP="00AB5684">
      <w:pPr>
        <w:pStyle w:val="Caption"/>
        <w:rPr>
          <w:sz w:val="20"/>
          <w:szCs w:val="20"/>
        </w:rPr>
      </w:pPr>
      <w:r w:rsidRPr="00487E16">
        <w:rPr>
          <w:sz w:val="20"/>
          <w:szCs w:val="20"/>
        </w:rPr>
        <w:t>Information sharing will help protect service users and reduce duplication.</w:t>
      </w:r>
    </w:p>
    <w:p w14:paraId="1DAB5EDA" w14:textId="374DC8AB" w:rsidR="00AB5684" w:rsidRDefault="00AB5684" w:rsidP="00CC4029">
      <w:pPr>
        <w:pStyle w:val="Heading2"/>
      </w:pPr>
      <w:r>
        <w:t>Workers and carers</w:t>
      </w:r>
    </w:p>
    <w:p w14:paraId="526297ED" w14:textId="7F25A2DE" w:rsidR="00AB5684" w:rsidRDefault="00AB5684" w:rsidP="00AB5684">
      <w:pPr>
        <w:pStyle w:val="Body"/>
      </w:pPr>
      <w:r>
        <w:t xml:space="preserve">The primary focus of regulating workers will be to ensure that you have a safe workforce for clients experiencing vulnerabilities. </w:t>
      </w:r>
    </w:p>
    <w:p w14:paraId="2B6B4AEC" w14:textId="5566F91D" w:rsidR="00AB5684" w:rsidRDefault="00AB5684" w:rsidP="00AB5684">
      <w:pPr>
        <w:pStyle w:val="Body"/>
      </w:pPr>
      <w:r>
        <w:t>A n</w:t>
      </w:r>
      <w:r w:rsidRPr="00CC712E">
        <w:t xml:space="preserve">ew Worker and Carer Exclusion Scheme will replace </w:t>
      </w:r>
      <w:r>
        <w:t xml:space="preserve">the </w:t>
      </w:r>
      <w:r w:rsidRPr="00CC712E">
        <w:t>current Carers Register and independent investigations model</w:t>
      </w:r>
      <w:r>
        <w:t xml:space="preserve">. </w:t>
      </w:r>
      <w:r w:rsidRPr="00CC712E">
        <w:t>Conduct that places children and young people at risk of harm, including sexual, physical and emotional abuse will be considered and may lead to exclusion</w:t>
      </w:r>
      <w:r>
        <w:t>. The regulator will seek</w:t>
      </w:r>
      <w:r w:rsidRPr="00CC712E">
        <w:t xml:space="preserve"> to streamline reporting and administrative processes through information sharing arrangements</w:t>
      </w:r>
      <w:r>
        <w:t>.</w:t>
      </w:r>
    </w:p>
    <w:p w14:paraId="76F0EAA3" w14:textId="77777777" w:rsidR="00C32B6F" w:rsidRDefault="00AB5684" w:rsidP="00AB5684">
      <w:pPr>
        <w:pStyle w:val="Body"/>
      </w:pPr>
      <w:r w:rsidRPr="0004724A">
        <w:t xml:space="preserve">Service providers </w:t>
      </w:r>
      <w:r>
        <w:t xml:space="preserve">will </w:t>
      </w:r>
      <w:r w:rsidRPr="0004724A">
        <w:t xml:space="preserve">ask the </w:t>
      </w:r>
      <w:r>
        <w:t>r</w:t>
      </w:r>
      <w:r w:rsidRPr="0004724A">
        <w:t>egulator to check a worker or carer against the excluded worker and carer database</w:t>
      </w:r>
      <w:r>
        <w:t>,</w:t>
      </w:r>
      <w:r w:rsidRPr="0004724A">
        <w:t xml:space="preserve"> before engaging a person to work as a worker or carer for the first time. </w:t>
      </w:r>
    </w:p>
    <w:p w14:paraId="4E2601D2" w14:textId="101E56B4" w:rsidR="00AB5684" w:rsidRDefault="00C32B6F" w:rsidP="00AB5684">
      <w:pPr>
        <w:pStyle w:val="Body"/>
      </w:pPr>
      <w:r>
        <w:rPr>
          <w:noProof/>
        </w:rPr>
        <w:drawing>
          <wp:inline distT="0" distB="0" distL="0" distR="0" wp14:anchorId="6F4EF5FF" wp14:editId="4CC415FF">
            <wp:extent cx="2686050" cy="2588260"/>
            <wp:effectExtent l="0" t="0" r="0" b="2540"/>
            <wp:docPr id="130" name="Picture 130" descr="Diagram showing the relationship between the worker carer exclusion scheme, working with children check, police check, and reportable conduct sche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Picture 130" descr="Diagram showing the relationship between the worker carer exclusion scheme, working with children check, police check, and reportable conduct scheme. "/>
                    <pic:cNvPicPr/>
                  </pic:nvPicPr>
                  <pic:blipFill>
                    <a:blip r:embed="rId19"/>
                    <a:stretch>
                      <a:fillRect/>
                    </a:stretch>
                  </pic:blipFill>
                  <pic:spPr>
                    <a:xfrm>
                      <a:off x="0" y="0"/>
                      <a:ext cx="2686050" cy="2588260"/>
                    </a:xfrm>
                    <a:prstGeom prst="rect">
                      <a:avLst/>
                    </a:prstGeom>
                  </pic:spPr>
                </pic:pic>
              </a:graphicData>
            </a:graphic>
          </wp:inline>
        </w:drawing>
      </w:r>
    </w:p>
    <w:p w14:paraId="2320B713" w14:textId="134002E4" w:rsidR="00AB5684" w:rsidRPr="00670968" w:rsidRDefault="00AB5684" w:rsidP="00AB5684">
      <w:pPr>
        <w:pStyle w:val="Caption"/>
        <w:rPr>
          <w:sz w:val="20"/>
          <w:szCs w:val="20"/>
        </w:rPr>
      </w:pPr>
      <w:r w:rsidRPr="00670968">
        <w:rPr>
          <w:sz w:val="20"/>
          <w:szCs w:val="20"/>
        </w:rPr>
        <w:t>T</w:t>
      </w:r>
      <w:r w:rsidRPr="00487E16">
        <w:rPr>
          <w:sz w:val="20"/>
          <w:szCs w:val="20"/>
        </w:rPr>
        <w:t>he worker and carer exclusion scheme, working with children check, police check, and reportable conduct scheme may each have a part to play in protecting those experiencing vulnerability.</w:t>
      </w:r>
      <w:r>
        <w:rPr>
          <w:sz w:val="20"/>
          <w:szCs w:val="20"/>
        </w:rPr>
        <w:t xml:space="preserve"> </w:t>
      </w:r>
    </w:p>
    <w:p w14:paraId="2735283D" w14:textId="494848A6" w:rsidR="000F6E71" w:rsidRDefault="00F96C0B" w:rsidP="00CC4029">
      <w:pPr>
        <w:pStyle w:val="Heading1"/>
      </w:pPr>
      <w:r>
        <w:lastRenderedPageBreak/>
        <w:t>Consultation</w:t>
      </w:r>
      <w:r w:rsidR="00F9632C">
        <w:t xml:space="preserve"> timeline</w:t>
      </w:r>
    </w:p>
    <w:p w14:paraId="5BE3B082" w14:textId="648E2DFF" w:rsidR="00FB447E" w:rsidRDefault="00F9632C" w:rsidP="00FB447E">
      <w:pPr>
        <w:pStyle w:val="Body"/>
        <w:rPr>
          <w:color w:val="000000" w:themeColor="text1"/>
        </w:rPr>
      </w:pPr>
      <w:r w:rsidRPr="49665657">
        <w:rPr>
          <w:color w:val="000000" w:themeColor="text1"/>
        </w:rPr>
        <w:t>Targeted engagement on this project began in 2019</w:t>
      </w:r>
      <w:r w:rsidR="002B5D70" w:rsidRPr="49665657">
        <w:rPr>
          <w:color w:val="000000" w:themeColor="text1"/>
        </w:rPr>
        <w:t>, with b</w:t>
      </w:r>
      <w:r w:rsidRPr="49665657">
        <w:rPr>
          <w:color w:val="000000" w:themeColor="text1"/>
        </w:rPr>
        <w:t>road engagement with sector peaks and key organisations ha</w:t>
      </w:r>
      <w:r w:rsidR="002B5D70" w:rsidRPr="49665657">
        <w:rPr>
          <w:color w:val="000000" w:themeColor="text1"/>
        </w:rPr>
        <w:t>ving</w:t>
      </w:r>
      <w:r w:rsidRPr="49665657">
        <w:rPr>
          <w:color w:val="000000" w:themeColor="text1"/>
        </w:rPr>
        <w:t xml:space="preserve"> commenced in 2021.</w:t>
      </w:r>
      <w:r w:rsidR="00FB447E" w:rsidRPr="49665657">
        <w:rPr>
          <w:color w:val="000000" w:themeColor="text1"/>
        </w:rPr>
        <w:t xml:space="preserve"> </w:t>
      </w:r>
    </w:p>
    <w:p w14:paraId="033016B0" w14:textId="154AA75C" w:rsidR="00FC69C7" w:rsidRPr="00F9632C" w:rsidRDefault="0056336F" w:rsidP="00F9632C">
      <w:pPr>
        <w:pStyle w:val="Body"/>
        <w:rPr>
          <w:color w:val="000000" w:themeColor="text1"/>
        </w:rPr>
      </w:pPr>
      <w:r w:rsidRPr="49665657">
        <w:rPr>
          <w:color w:val="000000" w:themeColor="text1"/>
        </w:rPr>
        <w:t xml:space="preserve">Consultation on the </w:t>
      </w:r>
      <w:r w:rsidR="003E6D8E" w:rsidRPr="49665657">
        <w:rPr>
          <w:color w:val="000000" w:themeColor="text1"/>
        </w:rPr>
        <w:t>s</w:t>
      </w:r>
      <w:r w:rsidRPr="49665657">
        <w:rPr>
          <w:color w:val="000000" w:themeColor="text1"/>
        </w:rPr>
        <w:t xml:space="preserve">tandards and collaboration on the regulations will occur in 2022. This will align with establishment of new regulator in 2022. There will be an implementation transition period for the first group of providers in 2023, with support provided by the regulator. </w:t>
      </w:r>
    </w:p>
    <w:p w14:paraId="08C4E12E" w14:textId="695B87DF" w:rsidR="00FC69C7" w:rsidRDefault="00EA78DC" w:rsidP="00FC69C7">
      <w:pPr>
        <w:pStyle w:val="Body"/>
        <w:rPr>
          <w:rFonts w:eastAsia="Times New Roman"/>
          <w:color w:val="87189D"/>
          <w:sz w:val="24"/>
          <w:szCs w:val="24"/>
        </w:rPr>
      </w:pPr>
      <w:r>
        <w:rPr>
          <w:noProof/>
        </w:rPr>
        <w:drawing>
          <wp:inline distT="0" distB="0" distL="0" distR="0" wp14:anchorId="60D77BF7" wp14:editId="32BF0E4A">
            <wp:extent cx="6479540" cy="3756660"/>
            <wp:effectExtent l="0" t="0" r="0" b="0"/>
            <wp:docPr id="11" name="Picture 11" descr="Diagram showing the consultation timeline, as describing in the paragraphs abov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 showing the consultation timeline, as describing in the paragraphs above. "/>
                    <pic:cNvPicPr/>
                  </pic:nvPicPr>
                  <pic:blipFill>
                    <a:blip r:embed="rId20"/>
                    <a:stretch>
                      <a:fillRect/>
                    </a:stretch>
                  </pic:blipFill>
                  <pic:spPr>
                    <a:xfrm>
                      <a:off x="0" y="0"/>
                      <a:ext cx="6479540" cy="3756660"/>
                    </a:xfrm>
                    <a:prstGeom prst="rect">
                      <a:avLst/>
                    </a:prstGeom>
                  </pic:spPr>
                </pic:pic>
              </a:graphicData>
            </a:graphic>
          </wp:inline>
        </w:drawing>
      </w:r>
    </w:p>
    <w:p w14:paraId="73A7F8CC" w14:textId="732612BF" w:rsidR="00FC69C7" w:rsidRPr="00AB5684" w:rsidRDefault="00FC69C7" w:rsidP="00FC69C7">
      <w:pPr>
        <w:pStyle w:val="Body"/>
        <w:rPr>
          <w:rFonts w:eastAsia="Times New Roman"/>
          <w:color w:val="87189D"/>
          <w:sz w:val="24"/>
          <w:szCs w:val="24"/>
        </w:rPr>
      </w:pPr>
      <w:r>
        <w:rPr>
          <w:rFonts w:eastAsia="Times New Roman"/>
          <w:color w:val="87189D"/>
          <w:sz w:val="24"/>
          <w:szCs w:val="24"/>
        </w:rPr>
        <w:t xml:space="preserve">  </w:t>
      </w:r>
    </w:p>
    <w:p w14:paraId="0E00B10F" w14:textId="77777777" w:rsidR="00FC69C7" w:rsidRPr="0055119B" w:rsidRDefault="00FC69C7" w:rsidP="00FC69C7">
      <w:pPr>
        <w:pStyle w:val="Accessibilitypara"/>
        <w:pBdr>
          <w:top w:val="single" w:sz="4" w:space="1" w:color="auto"/>
          <w:left w:val="single" w:sz="4" w:space="4" w:color="auto"/>
          <w:bottom w:val="single" w:sz="4" w:space="1" w:color="auto"/>
          <w:right w:val="single" w:sz="4" w:space="4" w:color="auto"/>
        </w:pBdr>
      </w:pPr>
      <w:r w:rsidRPr="0055119B">
        <w:t>To receive this document in another format</w:t>
      </w:r>
      <w:r>
        <w:t xml:space="preserve">, please </w:t>
      </w:r>
      <w:hyperlink r:id="rId21" w:history="1">
        <w:r w:rsidRPr="000E58C0">
          <w:rPr>
            <w:rStyle w:val="Hyperlink"/>
          </w:rPr>
          <w:t>email the Social Services Regulation Reform</w:t>
        </w:r>
      </w:hyperlink>
      <w:r>
        <w:t xml:space="preserve"> team </w:t>
      </w:r>
      <w:r w:rsidRPr="0055119B">
        <w:t>&lt;</w:t>
      </w:r>
      <w:r>
        <w:t>regulationreform@dhhs.vic.gov.au</w:t>
      </w:r>
      <w:r w:rsidRPr="0055119B">
        <w:t>&gt;.</w:t>
      </w:r>
    </w:p>
    <w:p w14:paraId="4B95452B" w14:textId="77777777" w:rsidR="00FC69C7" w:rsidRPr="0055119B" w:rsidRDefault="00FC69C7" w:rsidP="00FC69C7">
      <w:pPr>
        <w:pStyle w:val="Imprint"/>
        <w:pBdr>
          <w:top w:val="single" w:sz="4" w:space="1" w:color="auto"/>
          <w:left w:val="single" w:sz="4" w:space="4" w:color="auto"/>
          <w:bottom w:val="single" w:sz="4" w:space="1" w:color="auto"/>
          <w:right w:val="single" w:sz="4" w:space="4" w:color="auto"/>
        </w:pBdr>
      </w:pPr>
      <w:r w:rsidRPr="0055119B">
        <w:t>Authorised and published by the Victorian Government, 1 Treasury Place, Melbourne.</w:t>
      </w:r>
    </w:p>
    <w:p w14:paraId="388B6FB8" w14:textId="50E5A58C" w:rsidR="00FC69C7" w:rsidRDefault="00FC69C7" w:rsidP="00FC69C7">
      <w:pPr>
        <w:pStyle w:val="Imprint"/>
        <w:pBdr>
          <w:top w:val="single" w:sz="4" w:space="1" w:color="auto"/>
          <w:left w:val="single" w:sz="4" w:space="4" w:color="auto"/>
          <w:bottom w:val="single" w:sz="4" w:space="1" w:color="auto"/>
          <w:right w:val="single" w:sz="4" w:space="4" w:color="auto"/>
        </w:pBdr>
      </w:pPr>
      <w:r w:rsidRPr="0055119B">
        <w:t xml:space="preserve">© State of Victoria, Australia, Department </w:t>
      </w:r>
      <w:r w:rsidRPr="001B058F">
        <w:t xml:space="preserve">of </w:t>
      </w:r>
      <w:r>
        <w:t>Families, Fairness and Housing</w:t>
      </w:r>
      <w:r w:rsidRPr="0055119B">
        <w:t>,</w:t>
      </w:r>
      <w:r>
        <w:t xml:space="preserve"> March 2021</w:t>
      </w:r>
      <w:r w:rsidRPr="0055119B">
        <w:t>.</w:t>
      </w:r>
    </w:p>
    <w:p w14:paraId="150CD938" w14:textId="76A5309E" w:rsidR="009D18F6" w:rsidRDefault="009D18F6" w:rsidP="00FC69C7">
      <w:pPr>
        <w:pStyle w:val="Imprint"/>
        <w:pBdr>
          <w:top w:val="single" w:sz="4" w:space="1" w:color="auto"/>
          <w:left w:val="single" w:sz="4" w:space="4" w:color="auto"/>
          <w:bottom w:val="single" w:sz="4" w:space="1" w:color="auto"/>
          <w:right w:val="single" w:sz="4" w:space="4" w:color="auto"/>
        </w:pBdr>
      </w:pPr>
      <w:r>
        <w:t xml:space="preserve">Available at </w:t>
      </w:r>
      <w:hyperlink r:id="rId22" w:history="1">
        <w:r w:rsidRPr="009D18F6">
          <w:rPr>
            <w:rStyle w:val="Hyperlink"/>
          </w:rPr>
          <w:t>Human Services Regulator</w:t>
        </w:r>
      </w:hyperlink>
      <w:r>
        <w:t xml:space="preserve"> webpage on the department’s website</w:t>
      </w:r>
    </w:p>
    <w:p w14:paraId="01C086F7" w14:textId="3A470686" w:rsidR="009D18F6" w:rsidRPr="0055119B" w:rsidRDefault="009D18F6" w:rsidP="00FC69C7">
      <w:pPr>
        <w:pStyle w:val="Imprint"/>
        <w:pBdr>
          <w:top w:val="single" w:sz="4" w:space="1" w:color="auto"/>
          <w:left w:val="single" w:sz="4" w:space="4" w:color="auto"/>
          <w:bottom w:val="single" w:sz="4" w:space="1" w:color="auto"/>
          <w:right w:val="single" w:sz="4" w:space="4" w:color="auto"/>
        </w:pBdr>
      </w:pPr>
      <w:r>
        <w:t>&lt;</w:t>
      </w:r>
      <w:r w:rsidRPr="009D18F6">
        <w:t>https://www.dhhs.vic.gov.au/human-services-regulator</w:t>
      </w:r>
      <w:r>
        <w:t>&gt;</w:t>
      </w:r>
    </w:p>
    <w:bookmarkEnd w:id="0"/>
    <w:p w14:paraId="312DEA78" w14:textId="77777777" w:rsidR="00162CA9" w:rsidRDefault="00162CA9" w:rsidP="00162CA9">
      <w:pPr>
        <w:pStyle w:val="Body"/>
      </w:pPr>
    </w:p>
    <w:sectPr w:rsidR="00162CA9" w:rsidSect="00B04489">
      <w:headerReference w:type="default" r:id="rId23"/>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A77DDA" w14:textId="77777777" w:rsidR="00226FD6" w:rsidRDefault="00226FD6">
      <w:r>
        <w:separator/>
      </w:r>
    </w:p>
    <w:p w14:paraId="1393FC33" w14:textId="77777777" w:rsidR="00226FD6" w:rsidRDefault="00226FD6"/>
  </w:endnote>
  <w:endnote w:type="continuationSeparator" w:id="0">
    <w:p w14:paraId="1B6A4447" w14:textId="77777777" w:rsidR="00226FD6" w:rsidRDefault="00226FD6">
      <w:r>
        <w:continuationSeparator/>
      </w:r>
    </w:p>
    <w:p w14:paraId="56CA2019" w14:textId="77777777" w:rsidR="00226FD6" w:rsidRDefault="00226FD6"/>
  </w:endnote>
  <w:endnote w:type="continuationNotice" w:id="1">
    <w:p w14:paraId="26BB54A8" w14:textId="77777777" w:rsidR="00226FD6" w:rsidRDefault="00226F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E8AB2" w14:textId="77777777" w:rsidR="00C43145" w:rsidRDefault="00C431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C29F6" w14:textId="37AE9E6D" w:rsidR="00E261B3" w:rsidRPr="00F65AA9" w:rsidRDefault="00C1324F" w:rsidP="00EF2C72">
    <w:pPr>
      <w:pStyle w:val="Footer"/>
    </w:pPr>
    <w:r>
      <w:rPr>
        <w:noProof/>
        <w:lang w:eastAsia="en-AU"/>
      </w:rPr>
      <mc:AlternateContent>
        <mc:Choice Requires="wps">
          <w:drawing>
            <wp:anchor distT="0" distB="0" distL="114300" distR="114300" simplePos="0" relativeHeight="251659264" behindDoc="0" locked="0" layoutInCell="0" allowOverlap="1" wp14:anchorId="41008434" wp14:editId="6B855F93">
              <wp:simplePos x="0" y="0"/>
              <wp:positionH relativeFrom="page">
                <wp:posOffset>0</wp:posOffset>
              </wp:positionH>
              <wp:positionV relativeFrom="page">
                <wp:posOffset>10189210</wp:posOffset>
              </wp:positionV>
              <wp:extent cx="7560310" cy="311785"/>
              <wp:effectExtent l="0" t="0" r="0" b="12065"/>
              <wp:wrapNone/>
              <wp:docPr id="5" name="MSIPCMd5b44f569dd70c80894d0d2f"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EA6EF5" w14:textId="6ABE80E8" w:rsidR="00C1324F" w:rsidRPr="00C1324F" w:rsidRDefault="00C1324F" w:rsidP="00C1324F">
                          <w:pPr>
                            <w:spacing w:after="0"/>
                            <w:jc w:val="center"/>
                            <w:rPr>
                              <w:rFonts w:ascii="Arial Black" w:hAnsi="Arial Black"/>
                              <w:color w:val="000000"/>
                              <w:sz w:val="20"/>
                            </w:rPr>
                          </w:pPr>
                          <w:r w:rsidRPr="00C1324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008434" id="_x0000_t202" coordsize="21600,21600" o:spt="202" path="m,l,21600r21600,l21600,xe">
              <v:stroke joinstyle="miter"/>
              <v:path gradientshapeok="t" o:connecttype="rect"/>
            </v:shapetype>
            <v:shape id="MSIPCMd5b44f569dd70c80894d0d2f"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" o:allowincell="f" filled="f" stroked="f" strokeweight=".5pt">
              <v:textbox inset=",0,,0">
                <w:txbxContent>
                  <w:p w14:paraId="68EA6EF5" w14:textId="6ABE80E8" w:rsidR="00C1324F" w:rsidRPr="00C1324F" w:rsidRDefault="00C1324F" w:rsidP="00C1324F">
                    <w:pPr>
                      <w:spacing w:after="0"/>
                      <w:jc w:val="center"/>
                      <w:rPr>
                        <w:rFonts w:ascii="Arial Black" w:hAnsi="Arial Black"/>
                        <w:color w:val="000000"/>
                        <w:sz w:val="20"/>
                      </w:rPr>
                    </w:pPr>
                    <w:r w:rsidRPr="00C1324F">
                      <w:rPr>
                        <w:rFonts w:ascii="Arial Black" w:hAnsi="Arial Black"/>
                        <w:color w:val="000000"/>
                        <w:sz w:val="20"/>
                      </w:rPr>
                      <w:t>OFFICIAL</w:t>
                    </w:r>
                  </w:p>
                </w:txbxContent>
              </v:textbox>
              <w10:wrap anchorx="page" anchory="page"/>
            </v:shape>
          </w:pict>
        </mc:Fallback>
      </mc:AlternateContent>
    </w:r>
    <w:r w:rsidR="00B26256">
      <w:rPr>
        <w:noProof/>
        <w:lang w:eastAsia="en-AU"/>
      </w:rPr>
      <w:drawing>
        <wp:anchor distT="0" distB="0" distL="114300" distR="114300" simplePos="0" relativeHeight="251658240" behindDoc="1" locked="1" layoutInCell="1" allowOverlap="1" wp14:anchorId="2989A70D" wp14:editId="3E62B852">
          <wp:simplePos x="546265" y="9369631"/>
          <wp:positionH relativeFrom="page">
            <wp:align>left</wp:align>
          </wp:positionH>
          <wp:positionV relativeFrom="page">
            <wp:align>bottom</wp:align>
          </wp:positionV>
          <wp:extent cx="7560000" cy="9036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90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69938" w14:textId="77777777" w:rsidR="00C43145" w:rsidRDefault="00C431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86115B" w14:textId="77777777" w:rsidR="00226FD6" w:rsidRDefault="00226FD6" w:rsidP="00207717">
      <w:pPr>
        <w:spacing w:before="120"/>
      </w:pPr>
      <w:r>
        <w:separator/>
      </w:r>
    </w:p>
  </w:footnote>
  <w:footnote w:type="continuationSeparator" w:id="0">
    <w:p w14:paraId="48E42FC7" w14:textId="77777777" w:rsidR="00226FD6" w:rsidRDefault="00226FD6">
      <w:r>
        <w:continuationSeparator/>
      </w:r>
    </w:p>
    <w:p w14:paraId="7509C9C5" w14:textId="77777777" w:rsidR="00226FD6" w:rsidRDefault="00226FD6"/>
  </w:footnote>
  <w:footnote w:type="continuationNotice" w:id="1">
    <w:p w14:paraId="5C04750B" w14:textId="77777777" w:rsidR="00226FD6" w:rsidRDefault="00226F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828B6" w14:textId="77777777" w:rsidR="00C43145" w:rsidRDefault="00C431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8932F"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D274B" w14:textId="77777777" w:rsidR="00C43145" w:rsidRDefault="00C4314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D96D1" w14:textId="56AF66E9" w:rsidR="00E261B3" w:rsidRPr="0051568D" w:rsidRDefault="49665657" w:rsidP="0017674D">
    <w:pPr>
      <w:pStyle w:val="Header"/>
    </w:pPr>
    <w:r>
      <w:t xml:space="preserve">Social Services Regulation Reform – September 2021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5347"/>
    <w:rsid w:val="000072B6"/>
    <w:rsid w:val="0001021B"/>
    <w:rsid w:val="00011169"/>
    <w:rsid w:val="00011D89"/>
    <w:rsid w:val="000154FD"/>
    <w:rsid w:val="00022271"/>
    <w:rsid w:val="000235E8"/>
    <w:rsid w:val="00024D89"/>
    <w:rsid w:val="000250B6"/>
    <w:rsid w:val="00033D81"/>
    <w:rsid w:val="000370CE"/>
    <w:rsid w:val="00037366"/>
    <w:rsid w:val="00041BF0"/>
    <w:rsid w:val="00042C8A"/>
    <w:rsid w:val="0004536B"/>
    <w:rsid w:val="00046B68"/>
    <w:rsid w:val="000527DD"/>
    <w:rsid w:val="00053788"/>
    <w:rsid w:val="000578B2"/>
    <w:rsid w:val="00060959"/>
    <w:rsid w:val="00060C8F"/>
    <w:rsid w:val="000612E4"/>
    <w:rsid w:val="0006298A"/>
    <w:rsid w:val="00065D4B"/>
    <w:rsid w:val="000663CD"/>
    <w:rsid w:val="00071A02"/>
    <w:rsid w:val="000733FE"/>
    <w:rsid w:val="00074219"/>
    <w:rsid w:val="00074ED5"/>
    <w:rsid w:val="00080FA3"/>
    <w:rsid w:val="0008508E"/>
    <w:rsid w:val="00086557"/>
    <w:rsid w:val="00087951"/>
    <w:rsid w:val="00090F8E"/>
    <w:rsid w:val="0009113B"/>
    <w:rsid w:val="00093402"/>
    <w:rsid w:val="00094DA3"/>
    <w:rsid w:val="00096CD1"/>
    <w:rsid w:val="000A012C"/>
    <w:rsid w:val="000A0EB9"/>
    <w:rsid w:val="000A186C"/>
    <w:rsid w:val="000A1EA4"/>
    <w:rsid w:val="000A2476"/>
    <w:rsid w:val="000A52EF"/>
    <w:rsid w:val="000A641A"/>
    <w:rsid w:val="000A6C4D"/>
    <w:rsid w:val="000B2117"/>
    <w:rsid w:val="000B3EDB"/>
    <w:rsid w:val="000B543D"/>
    <w:rsid w:val="000B55F9"/>
    <w:rsid w:val="000B5BF7"/>
    <w:rsid w:val="000B6BC8"/>
    <w:rsid w:val="000C0303"/>
    <w:rsid w:val="000C42EA"/>
    <w:rsid w:val="000C4546"/>
    <w:rsid w:val="000C678B"/>
    <w:rsid w:val="000D1242"/>
    <w:rsid w:val="000D2B10"/>
    <w:rsid w:val="000D335F"/>
    <w:rsid w:val="000E0970"/>
    <w:rsid w:val="000E3CC7"/>
    <w:rsid w:val="000E6BD4"/>
    <w:rsid w:val="000E6D6D"/>
    <w:rsid w:val="000F1F1E"/>
    <w:rsid w:val="000F2259"/>
    <w:rsid w:val="000F2DDA"/>
    <w:rsid w:val="000F2EA0"/>
    <w:rsid w:val="000F5213"/>
    <w:rsid w:val="000F6E71"/>
    <w:rsid w:val="00101001"/>
    <w:rsid w:val="00103276"/>
    <w:rsid w:val="0010392D"/>
    <w:rsid w:val="0010447F"/>
    <w:rsid w:val="00104FE3"/>
    <w:rsid w:val="0010714F"/>
    <w:rsid w:val="001120C5"/>
    <w:rsid w:val="00115B87"/>
    <w:rsid w:val="00120BD3"/>
    <w:rsid w:val="00122FEA"/>
    <w:rsid w:val="001232BD"/>
    <w:rsid w:val="00124ED5"/>
    <w:rsid w:val="0012536D"/>
    <w:rsid w:val="001276FA"/>
    <w:rsid w:val="001447B3"/>
    <w:rsid w:val="00152073"/>
    <w:rsid w:val="00152D83"/>
    <w:rsid w:val="00156598"/>
    <w:rsid w:val="00161939"/>
    <w:rsid w:val="00161AA0"/>
    <w:rsid w:val="00161D2E"/>
    <w:rsid w:val="00161F3E"/>
    <w:rsid w:val="00162093"/>
    <w:rsid w:val="00162CA9"/>
    <w:rsid w:val="00165459"/>
    <w:rsid w:val="00165A57"/>
    <w:rsid w:val="00170993"/>
    <w:rsid w:val="001712C2"/>
    <w:rsid w:val="00172BAF"/>
    <w:rsid w:val="00173699"/>
    <w:rsid w:val="0017674D"/>
    <w:rsid w:val="001771DD"/>
    <w:rsid w:val="00177995"/>
    <w:rsid w:val="00177A8C"/>
    <w:rsid w:val="00186B33"/>
    <w:rsid w:val="00190F81"/>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4016"/>
    <w:rsid w:val="001F6E46"/>
    <w:rsid w:val="001F7C91"/>
    <w:rsid w:val="002033B7"/>
    <w:rsid w:val="00206463"/>
    <w:rsid w:val="00206F2F"/>
    <w:rsid w:val="00207717"/>
    <w:rsid w:val="0021053D"/>
    <w:rsid w:val="00210A92"/>
    <w:rsid w:val="00216BAB"/>
    <w:rsid w:val="00216C03"/>
    <w:rsid w:val="00220C04"/>
    <w:rsid w:val="0022278D"/>
    <w:rsid w:val="00226FD6"/>
    <w:rsid w:val="0022701F"/>
    <w:rsid w:val="00227C68"/>
    <w:rsid w:val="002333F5"/>
    <w:rsid w:val="00233724"/>
    <w:rsid w:val="002365B4"/>
    <w:rsid w:val="00236D3F"/>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53BB"/>
    <w:rsid w:val="002763B3"/>
    <w:rsid w:val="002802E3"/>
    <w:rsid w:val="0028213D"/>
    <w:rsid w:val="002862F1"/>
    <w:rsid w:val="00291373"/>
    <w:rsid w:val="0029597D"/>
    <w:rsid w:val="002962C3"/>
    <w:rsid w:val="0029752B"/>
    <w:rsid w:val="002A04B1"/>
    <w:rsid w:val="002A0A9C"/>
    <w:rsid w:val="002A0CCA"/>
    <w:rsid w:val="002A483C"/>
    <w:rsid w:val="002B012B"/>
    <w:rsid w:val="002B0C7C"/>
    <w:rsid w:val="002B1729"/>
    <w:rsid w:val="002B36C7"/>
    <w:rsid w:val="002B4DD4"/>
    <w:rsid w:val="002B5277"/>
    <w:rsid w:val="002B5375"/>
    <w:rsid w:val="002B5D70"/>
    <w:rsid w:val="002B77C1"/>
    <w:rsid w:val="002C0ED7"/>
    <w:rsid w:val="002C2728"/>
    <w:rsid w:val="002C7D27"/>
    <w:rsid w:val="002D07E9"/>
    <w:rsid w:val="002D1E0D"/>
    <w:rsid w:val="002D5006"/>
    <w:rsid w:val="002E01D0"/>
    <w:rsid w:val="002E161D"/>
    <w:rsid w:val="002E3100"/>
    <w:rsid w:val="002E6C95"/>
    <w:rsid w:val="002E7C36"/>
    <w:rsid w:val="002F3ADF"/>
    <w:rsid w:val="002F3D32"/>
    <w:rsid w:val="002F4AC6"/>
    <w:rsid w:val="002F5F31"/>
    <w:rsid w:val="002F5F46"/>
    <w:rsid w:val="00302216"/>
    <w:rsid w:val="00303E53"/>
    <w:rsid w:val="00305376"/>
    <w:rsid w:val="00305CC1"/>
    <w:rsid w:val="00306E5F"/>
    <w:rsid w:val="00307E14"/>
    <w:rsid w:val="00314054"/>
    <w:rsid w:val="00316F27"/>
    <w:rsid w:val="003214F1"/>
    <w:rsid w:val="00322E4B"/>
    <w:rsid w:val="00327870"/>
    <w:rsid w:val="003306F8"/>
    <w:rsid w:val="0033259D"/>
    <w:rsid w:val="003333D2"/>
    <w:rsid w:val="00337339"/>
    <w:rsid w:val="003406C6"/>
    <w:rsid w:val="003418CC"/>
    <w:rsid w:val="003459BD"/>
    <w:rsid w:val="00350D38"/>
    <w:rsid w:val="00351B36"/>
    <w:rsid w:val="00357B4E"/>
    <w:rsid w:val="003716FD"/>
    <w:rsid w:val="0037204B"/>
    <w:rsid w:val="003744CF"/>
    <w:rsid w:val="00374717"/>
    <w:rsid w:val="003757CD"/>
    <w:rsid w:val="0037676C"/>
    <w:rsid w:val="00381043"/>
    <w:rsid w:val="00381A85"/>
    <w:rsid w:val="003829E5"/>
    <w:rsid w:val="00386109"/>
    <w:rsid w:val="00386944"/>
    <w:rsid w:val="003956CC"/>
    <w:rsid w:val="00395C9A"/>
    <w:rsid w:val="003A04E1"/>
    <w:rsid w:val="003A0853"/>
    <w:rsid w:val="003A16A8"/>
    <w:rsid w:val="003A6B67"/>
    <w:rsid w:val="003A6E33"/>
    <w:rsid w:val="003B13B6"/>
    <w:rsid w:val="003B14C3"/>
    <w:rsid w:val="003B15E6"/>
    <w:rsid w:val="003B1BDC"/>
    <w:rsid w:val="003B408A"/>
    <w:rsid w:val="003B7A3E"/>
    <w:rsid w:val="003C08A2"/>
    <w:rsid w:val="003C2045"/>
    <w:rsid w:val="003C43A1"/>
    <w:rsid w:val="003C4FC0"/>
    <w:rsid w:val="003C55F4"/>
    <w:rsid w:val="003C7897"/>
    <w:rsid w:val="003C7A3F"/>
    <w:rsid w:val="003D048B"/>
    <w:rsid w:val="003D2766"/>
    <w:rsid w:val="003D2A74"/>
    <w:rsid w:val="003D3E8F"/>
    <w:rsid w:val="003D5BDE"/>
    <w:rsid w:val="003D6475"/>
    <w:rsid w:val="003D6EE6"/>
    <w:rsid w:val="003E375C"/>
    <w:rsid w:val="003E4086"/>
    <w:rsid w:val="003E639E"/>
    <w:rsid w:val="003E6D8E"/>
    <w:rsid w:val="003E71E5"/>
    <w:rsid w:val="003F0445"/>
    <w:rsid w:val="003F0CF0"/>
    <w:rsid w:val="003F14B1"/>
    <w:rsid w:val="003F2B20"/>
    <w:rsid w:val="003F3289"/>
    <w:rsid w:val="003F3C62"/>
    <w:rsid w:val="003F5CB9"/>
    <w:rsid w:val="004013C7"/>
    <w:rsid w:val="00401FCF"/>
    <w:rsid w:val="00406285"/>
    <w:rsid w:val="00411AE0"/>
    <w:rsid w:val="004148F9"/>
    <w:rsid w:val="004153FD"/>
    <w:rsid w:val="0042084E"/>
    <w:rsid w:val="00421EEF"/>
    <w:rsid w:val="00424D65"/>
    <w:rsid w:val="00427022"/>
    <w:rsid w:val="00430393"/>
    <w:rsid w:val="00431806"/>
    <w:rsid w:val="0043301A"/>
    <w:rsid w:val="00437AC5"/>
    <w:rsid w:val="00442C6C"/>
    <w:rsid w:val="00443770"/>
    <w:rsid w:val="00443CBE"/>
    <w:rsid w:val="00443E8A"/>
    <w:rsid w:val="004441BC"/>
    <w:rsid w:val="00446041"/>
    <w:rsid w:val="004468B4"/>
    <w:rsid w:val="0045230A"/>
    <w:rsid w:val="00454AD0"/>
    <w:rsid w:val="00455E3C"/>
    <w:rsid w:val="004564B5"/>
    <w:rsid w:val="00457337"/>
    <w:rsid w:val="00462E3D"/>
    <w:rsid w:val="00464657"/>
    <w:rsid w:val="00466E79"/>
    <w:rsid w:val="0047029E"/>
    <w:rsid w:val="00470D7D"/>
    <w:rsid w:val="0047372D"/>
    <w:rsid w:val="00473BA3"/>
    <w:rsid w:val="004743DD"/>
    <w:rsid w:val="00474CEA"/>
    <w:rsid w:val="004803CA"/>
    <w:rsid w:val="00483968"/>
    <w:rsid w:val="004841BE"/>
    <w:rsid w:val="00484F86"/>
    <w:rsid w:val="00490746"/>
    <w:rsid w:val="00490852"/>
    <w:rsid w:val="00491C9C"/>
    <w:rsid w:val="00492F30"/>
    <w:rsid w:val="004946F4"/>
    <w:rsid w:val="0049487E"/>
    <w:rsid w:val="004A0171"/>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B84"/>
    <w:rsid w:val="004E5C2B"/>
    <w:rsid w:val="004F00DD"/>
    <w:rsid w:val="004F2133"/>
    <w:rsid w:val="004F5398"/>
    <w:rsid w:val="004F55F1"/>
    <w:rsid w:val="004F6936"/>
    <w:rsid w:val="004F7627"/>
    <w:rsid w:val="004F7B35"/>
    <w:rsid w:val="00500F4C"/>
    <w:rsid w:val="005018CF"/>
    <w:rsid w:val="00503DC6"/>
    <w:rsid w:val="00506F5D"/>
    <w:rsid w:val="00510C37"/>
    <w:rsid w:val="005126D0"/>
    <w:rsid w:val="00514667"/>
    <w:rsid w:val="0051568D"/>
    <w:rsid w:val="0052310E"/>
    <w:rsid w:val="00526AC7"/>
    <w:rsid w:val="00526C15"/>
    <w:rsid w:val="00531A7D"/>
    <w:rsid w:val="00536499"/>
    <w:rsid w:val="0054185C"/>
    <w:rsid w:val="00542A03"/>
    <w:rsid w:val="00543903"/>
    <w:rsid w:val="00543F11"/>
    <w:rsid w:val="00546305"/>
    <w:rsid w:val="00547A95"/>
    <w:rsid w:val="0055119B"/>
    <w:rsid w:val="0055291B"/>
    <w:rsid w:val="00561202"/>
    <w:rsid w:val="0056336F"/>
    <w:rsid w:val="00564639"/>
    <w:rsid w:val="00572031"/>
    <w:rsid w:val="00572282"/>
    <w:rsid w:val="00573CE3"/>
    <w:rsid w:val="00575C8F"/>
    <w:rsid w:val="00576E84"/>
    <w:rsid w:val="00580394"/>
    <w:rsid w:val="005809CD"/>
    <w:rsid w:val="00582B8C"/>
    <w:rsid w:val="0058757E"/>
    <w:rsid w:val="00596A4B"/>
    <w:rsid w:val="00597507"/>
    <w:rsid w:val="005A479D"/>
    <w:rsid w:val="005B095E"/>
    <w:rsid w:val="005B1C6D"/>
    <w:rsid w:val="005B21B6"/>
    <w:rsid w:val="005B2571"/>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E6C9D"/>
    <w:rsid w:val="005F0775"/>
    <w:rsid w:val="005F0CF5"/>
    <w:rsid w:val="005F21EB"/>
    <w:rsid w:val="005F249D"/>
    <w:rsid w:val="005F64CF"/>
    <w:rsid w:val="006041AD"/>
    <w:rsid w:val="00605908"/>
    <w:rsid w:val="00607850"/>
    <w:rsid w:val="00610D7C"/>
    <w:rsid w:val="00613414"/>
    <w:rsid w:val="00620154"/>
    <w:rsid w:val="00623390"/>
    <w:rsid w:val="0062408D"/>
    <w:rsid w:val="006240CC"/>
    <w:rsid w:val="00624940"/>
    <w:rsid w:val="006254F8"/>
    <w:rsid w:val="00627DA7"/>
    <w:rsid w:val="00630DA4"/>
    <w:rsid w:val="00631CD4"/>
    <w:rsid w:val="00632597"/>
    <w:rsid w:val="00634D13"/>
    <w:rsid w:val="006358B4"/>
    <w:rsid w:val="00641724"/>
    <w:rsid w:val="006419AA"/>
    <w:rsid w:val="006443B6"/>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E6F"/>
    <w:rsid w:val="00696F27"/>
    <w:rsid w:val="006A18C2"/>
    <w:rsid w:val="006A3383"/>
    <w:rsid w:val="006B077C"/>
    <w:rsid w:val="006B16AF"/>
    <w:rsid w:val="006B6803"/>
    <w:rsid w:val="006D0F16"/>
    <w:rsid w:val="006D0F44"/>
    <w:rsid w:val="006D2A3F"/>
    <w:rsid w:val="006D2FBC"/>
    <w:rsid w:val="006E138B"/>
    <w:rsid w:val="006E1867"/>
    <w:rsid w:val="006F0330"/>
    <w:rsid w:val="006F1110"/>
    <w:rsid w:val="006F1FDC"/>
    <w:rsid w:val="006F34B8"/>
    <w:rsid w:val="006F499B"/>
    <w:rsid w:val="006F6B8C"/>
    <w:rsid w:val="007013EF"/>
    <w:rsid w:val="007055BD"/>
    <w:rsid w:val="007173CA"/>
    <w:rsid w:val="00720118"/>
    <w:rsid w:val="007216AA"/>
    <w:rsid w:val="00721AB5"/>
    <w:rsid w:val="00721CFB"/>
    <w:rsid w:val="00721DEF"/>
    <w:rsid w:val="00724A43"/>
    <w:rsid w:val="007273AC"/>
    <w:rsid w:val="00731AD4"/>
    <w:rsid w:val="007346E4"/>
    <w:rsid w:val="0073682B"/>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39D5"/>
    <w:rsid w:val="00773AFB"/>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4F94"/>
    <w:rsid w:val="007C7301"/>
    <w:rsid w:val="007C7859"/>
    <w:rsid w:val="007C7F28"/>
    <w:rsid w:val="007D1466"/>
    <w:rsid w:val="007D2BDE"/>
    <w:rsid w:val="007D2FB6"/>
    <w:rsid w:val="007D3246"/>
    <w:rsid w:val="007D49EB"/>
    <w:rsid w:val="007D5E1C"/>
    <w:rsid w:val="007E0DE2"/>
    <w:rsid w:val="007E3B98"/>
    <w:rsid w:val="007E417A"/>
    <w:rsid w:val="007F31B6"/>
    <w:rsid w:val="007F546C"/>
    <w:rsid w:val="007F625F"/>
    <w:rsid w:val="007F665E"/>
    <w:rsid w:val="007F7C9C"/>
    <w:rsid w:val="00800412"/>
    <w:rsid w:val="0080587B"/>
    <w:rsid w:val="00806468"/>
    <w:rsid w:val="008119CA"/>
    <w:rsid w:val="008130C4"/>
    <w:rsid w:val="008155F0"/>
    <w:rsid w:val="00816735"/>
    <w:rsid w:val="00820141"/>
    <w:rsid w:val="00820E0C"/>
    <w:rsid w:val="00823275"/>
    <w:rsid w:val="0082366F"/>
    <w:rsid w:val="008338A2"/>
    <w:rsid w:val="00836141"/>
    <w:rsid w:val="00841AA9"/>
    <w:rsid w:val="00843539"/>
    <w:rsid w:val="0084548C"/>
    <w:rsid w:val="008474FE"/>
    <w:rsid w:val="0085232E"/>
    <w:rsid w:val="00853EE4"/>
    <w:rsid w:val="00855535"/>
    <w:rsid w:val="00857C5A"/>
    <w:rsid w:val="0086255E"/>
    <w:rsid w:val="008633F0"/>
    <w:rsid w:val="00867D9D"/>
    <w:rsid w:val="00872C54"/>
    <w:rsid w:val="00872E0A"/>
    <w:rsid w:val="00873594"/>
    <w:rsid w:val="00875285"/>
    <w:rsid w:val="00882605"/>
    <w:rsid w:val="00884B62"/>
    <w:rsid w:val="0088529C"/>
    <w:rsid w:val="00887903"/>
    <w:rsid w:val="0089270A"/>
    <w:rsid w:val="00893AF6"/>
    <w:rsid w:val="00894BC4"/>
    <w:rsid w:val="008A28A8"/>
    <w:rsid w:val="008A37F4"/>
    <w:rsid w:val="008A5B32"/>
    <w:rsid w:val="008A7C70"/>
    <w:rsid w:val="008B2029"/>
    <w:rsid w:val="008B2EE4"/>
    <w:rsid w:val="008B3821"/>
    <w:rsid w:val="008B4D3D"/>
    <w:rsid w:val="008B57C7"/>
    <w:rsid w:val="008C2F92"/>
    <w:rsid w:val="008C589D"/>
    <w:rsid w:val="008C6D51"/>
    <w:rsid w:val="008D2846"/>
    <w:rsid w:val="008D4236"/>
    <w:rsid w:val="008D462F"/>
    <w:rsid w:val="008D5C45"/>
    <w:rsid w:val="008D6DCF"/>
    <w:rsid w:val="008E4376"/>
    <w:rsid w:val="008E466D"/>
    <w:rsid w:val="008E7A0A"/>
    <w:rsid w:val="008E7B49"/>
    <w:rsid w:val="008F59F6"/>
    <w:rsid w:val="00900719"/>
    <w:rsid w:val="009017AC"/>
    <w:rsid w:val="00902A9A"/>
    <w:rsid w:val="00904A1C"/>
    <w:rsid w:val="00905030"/>
    <w:rsid w:val="00906490"/>
    <w:rsid w:val="009111B2"/>
    <w:rsid w:val="00914728"/>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67124"/>
    <w:rsid w:val="009718C7"/>
    <w:rsid w:val="00971911"/>
    <w:rsid w:val="0097559F"/>
    <w:rsid w:val="009761EA"/>
    <w:rsid w:val="0097761E"/>
    <w:rsid w:val="009821DE"/>
    <w:rsid w:val="00982454"/>
    <w:rsid w:val="00982CE8"/>
    <w:rsid w:val="00982CF0"/>
    <w:rsid w:val="00983E52"/>
    <w:rsid w:val="009853E1"/>
    <w:rsid w:val="00986E6B"/>
    <w:rsid w:val="00990032"/>
    <w:rsid w:val="00990B19"/>
    <w:rsid w:val="0099153B"/>
    <w:rsid w:val="00991769"/>
    <w:rsid w:val="0099232C"/>
    <w:rsid w:val="0099251F"/>
    <w:rsid w:val="00992ACB"/>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18F6"/>
    <w:rsid w:val="009D27DF"/>
    <w:rsid w:val="009D51D0"/>
    <w:rsid w:val="009D70A4"/>
    <w:rsid w:val="009D7A52"/>
    <w:rsid w:val="009D7B14"/>
    <w:rsid w:val="009E08D1"/>
    <w:rsid w:val="009E1B95"/>
    <w:rsid w:val="009E496F"/>
    <w:rsid w:val="009E4B0D"/>
    <w:rsid w:val="009E51DB"/>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21B"/>
    <w:rsid w:val="00A157B1"/>
    <w:rsid w:val="00A17750"/>
    <w:rsid w:val="00A22229"/>
    <w:rsid w:val="00A24442"/>
    <w:rsid w:val="00A2584C"/>
    <w:rsid w:val="00A32577"/>
    <w:rsid w:val="00A330BB"/>
    <w:rsid w:val="00A34ACD"/>
    <w:rsid w:val="00A42DE1"/>
    <w:rsid w:val="00A444AC"/>
    <w:rsid w:val="00A44882"/>
    <w:rsid w:val="00A45125"/>
    <w:rsid w:val="00A54715"/>
    <w:rsid w:val="00A6061C"/>
    <w:rsid w:val="00A62D44"/>
    <w:rsid w:val="00A67263"/>
    <w:rsid w:val="00A7161C"/>
    <w:rsid w:val="00A77AA3"/>
    <w:rsid w:val="00A77B6F"/>
    <w:rsid w:val="00A8236D"/>
    <w:rsid w:val="00A854EB"/>
    <w:rsid w:val="00A872E5"/>
    <w:rsid w:val="00A90DD4"/>
    <w:rsid w:val="00A91406"/>
    <w:rsid w:val="00A96E65"/>
    <w:rsid w:val="00A96ECE"/>
    <w:rsid w:val="00A97C72"/>
    <w:rsid w:val="00A97CF1"/>
    <w:rsid w:val="00AA310B"/>
    <w:rsid w:val="00AA63D4"/>
    <w:rsid w:val="00AB06E8"/>
    <w:rsid w:val="00AB1CD3"/>
    <w:rsid w:val="00AB352F"/>
    <w:rsid w:val="00AB5684"/>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0197"/>
    <w:rsid w:val="00B13851"/>
    <w:rsid w:val="00B13B1C"/>
    <w:rsid w:val="00B14B5F"/>
    <w:rsid w:val="00B151A4"/>
    <w:rsid w:val="00B21F90"/>
    <w:rsid w:val="00B22291"/>
    <w:rsid w:val="00B23F9A"/>
    <w:rsid w:val="00B2417B"/>
    <w:rsid w:val="00B24E6F"/>
    <w:rsid w:val="00B26256"/>
    <w:rsid w:val="00B26CB5"/>
    <w:rsid w:val="00B2752E"/>
    <w:rsid w:val="00B301AC"/>
    <w:rsid w:val="00B307CC"/>
    <w:rsid w:val="00B326B7"/>
    <w:rsid w:val="00B3588E"/>
    <w:rsid w:val="00B4198F"/>
    <w:rsid w:val="00B41F3D"/>
    <w:rsid w:val="00B431E8"/>
    <w:rsid w:val="00B45141"/>
    <w:rsid w:val="00B519CD"/>
    <w:rsid w:val="00B5273A"/>
    <w:rsid w:val="00B52A2B"/>
    <w:rsid w:val="00B57329"/>
    <w:rsid w:val="00B60378"/>
    <w:rsid w:val="00B60E61"/>
    <w:rsid w:val="00B62B50"/>
    <w:rsid w:val="00B635B7"/>
    <w:rsid w:val="00B63AE8"/>
    <w:rsid w:val="00B65950"/>
    <w:rsid w:val="00B66D83"/>
    <w:rsid w:val="00B672C0"/>
    <w:rsid w:val="00B676FD"/>
    <w:rsid w:val="00B678B6"/>
    <w:rsid w:val="00B75646"/>
    <w:rsid w:val="00B7629E"/>
    <w:rsid w:val="00B90729"/>
    <w:rsid w:val="00B907DA"/>
    <w:rsid w:val="00B950BC"/>
    <w:rsid w:val="00B9714C"/>
    <w:rsid w:val="00BA29AD"/>
    <w:rsid w:val="00BA33CF"/>
    <w:rsid w:val="00BA3F8D"/>
    <w:rsid w:val="00BB2E42"/>
    <w:rsid w:val="00BB7A10"/>
    <w:rsid w:val="00BC60BE"/>
    <w:rsid w:val="00BC6269"/>
    <w:rsid w:val="00BC7468"/>
    <w:rsid w:val="00BC7D4F"/>
    <w:rsid w:val="00BC7ED7"/>
    <w:rsid w:val="00BD2850"/>
    <w:rsid w:val="00BD3462"/>
    <w:rsid w:val="00BE28D2"/>
    <w:rsid w:val="00BE4A64"/>
    <w:rsid w:val="00BE5E43"/>
    <w:rsid w:val="00BF31B7"/>
    <w:rsid w:val="00BF557D"/>
    <w:rsid w:val="00BF7F58"/>
    <w:rsid w:val="00C01381"/>
    <w:rsid w:val="00C01AB1"/>
    <w:rsid w:val="00C026A0"/>
    <w:rsid w:val="00C03EA4"/>
    <w:rsid w:val="00C04F42"/>
    <w:rsid w:val="00C06137"/>
    <w:rsid w:val="00C06929"/>
    <w:rsid w:val="00C079B8"/>
    <w:rsid w:val="00C10037"/>
    <w:rsid w:val="00C123EA"/>
    <w:rsid w:val="00C12A49"/>
    <w:rsid w:val="00C1324F"/>
    <w:rsid w:val="00C133EE"/>
    <w:rsid w:val="00C149D0"/>
    <w:rsid w:val="00C231A0"/>
    <w:rsid w:val="00C24309"/>
    <w:rsid w:val="00C26588"/>
    <w:rsid w:val="00C27DE9"/>
    <w:rsid w:val="00C3009A"/>
    <w:rsid w:val="00C32989"/>
    <w:rsid w:val="00C32B6F"/>
    <w:rsid w:val="00C33388"/>
    <w:rsid w:val="00C33E98"/>
    <w:rsid w:val="00C35484"/>
    <w:rsid w:val="00C4173A"/>
    <w:rsid w:val="00C42AAD"/>
    <w:rsid w:val="00C43145"/>
    <w:rsid w:val="00C50DED"/>
    <w:rsid w:val="00C52217"/>
    <w:rsid w:val="00C602FF"/>
    <w:rsid w:val="00C61174"/>
    <w:rsid w:val="00C6148F"/>
    <w:rsid w:val="00C621B1"/>
    <w:rsid w:val="00C62F7A"/>
    <w:rsid w:val="00C63B9C"/>
    <w:rsid w:val="00C6682F"/>
    <w:rsid w:val="00C67BF4"/>
    <w:rsid w:val="00C70DD1"/>
    <w:rsid w:val="00C71E45"/>
    <w:rsid w:val="00C7275E"/>
    <w:rsid w:val="00C74C5D"/>
    <w:rsid w:val="00C84297"/>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C4029"/>
    <w:rsid w:val="00CD3476"/>
    <w:rsid w:val="00CD64DF"/>
    <w:rsid w:val="00CE225F"/>
    <w:rsid w:val="00CF2F50"/>
    <w:rsid w:val="00CF4148"/>
    <w:rsid w:val="00CF6198"/>
    <w:rsid w:val="00CF7419"/>
    <w:rsid w:val="00D02919"/>
    <w:rsid w:val="00D0365F"/>
    <w:rsid w:val="00D04C61"/>
    <w:rsid w:val="00D05B8D"/>
    <w:rsid w:val="00D05B9B"/>
    <w:rsid w:val="00D065A2"/>
    <w:rsid w:val="00D079AA"/>
    <w:rsid w:val="00D07F00"/>
    <w:rsid w:val="00D1130F"/>
    <w:rsid w:val="00D17B72"/>
    <w:rsid w:val="00D17E46"/>
    <w:rsid w:val="00D3185C"/>
    <w:rsid w:val="00D3205F"/>
    <w:rsid w:val="00D3318E"/>
    <w:rsid w:val="00D33E72"/>
    <w:rsid w:val="00D34D49"/>
    <w:rsid w:val="00D35BD6"/>
    <w:rsid w:val="00D361B5"/>
    <w:rsid w:val="00D376CF"/>
    <w:rsid w:val="00D411A2"/>
    <w:rsid w:val="00D4324B"/>
    <w:rsid w:val="00D4606D"/>
    <w:rsid w:val="00D47AFE"/>
    <w:rsid w:val="00D50B9C"/>
    <w:rsid w:val="00D50D74"/>
    <w:rsid w:val="00D52D73"/>
    <w:rsid w:val="00D52E58"/>
    <w:rsid w:val="00D568CC"/>
    <w:rsid w:val="00D56B20"/>
    <w:rsid w:val="00D578B3"/>
    <w:rsid w:val="00D618F4"/>
    <w:rsid w:val="00D67F4E"/>
    <w:rsid w:val="00D714CC"/>
    <w:rsid w:val="00D75EA7"/>
    <w:rsid w:val="00D81ADF"/>
    <w:rsid w:val="00D81F21"/>
    <w:rsid w:val="00D864F2"/>
    <w:rsid w:val="00D943F8"/>
    <w:rsid w:val="00D95470"/>
    <w:rsid w:val="00D96B55"/>
    <w:rsid w:val="00D97D9E"/>
    <w:rsid w:val="00DA2619"/>
    <w:rsid w:val="00DA2E57"/>
    <w:rsid w:val="00DA4239"/>
    <w:rsid w:val="00DA65DE"/>
    <w:rsid w:val="00DB0B61"/>
    <w:rsid w:val="00DB1474"/>
    <w:rsid w:val="00DB2962"/>
    <w:rsid w:val="00DB52FB"/>
    <w:rsid w:val="00DB5793"/>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DF764C"/>
    <w:rsid w:val="00E047B1"/>
    <w:rsid w:val="00E06B75"/>
    <w:rsid w:val="00E077B6"/>
    <w:rsid w:val="00E11332"/>
    <w:rsid w:val="00E11352"/>
    <w:rsid w:val="00E170DC"/>
    <w:rsid w:val="00E17546"/>
    <w:rsid w:val="00E210B5"/>
    <w:rsid w:val="00E22C3D"/>
    <w:rsid w:val="00E261B3"/>
    <w:rsid w:val="00E26818"/>
    <w:rsid w:val="00E27FFC"/>
    <w:rsid w:val="00E30B15"/>
    <w:rsid w:val="00E33237"/>
    <w:rsid w:val="00E40181"/>
    <w:rsid w:val="00E51038"/>
    <w:rsid w:val="00E54950"/>
    <w:rsid w:val="00E55FB3"/>
    <w:rsid w:val="00E56A01"/>
    <w:rsid w:val="00E629A1"/>
    <w:rsid w:val="00E6794C"/>
    <w:rsid w:val="00E71591"/>
    <w:rsid w:val="00E71CEB"/>
    <w:rsid w:val="00E7318A"/>
    <w:rsid w:val="00E7474F"/>
    <w:rsid w:val="00E80DE3"/>
    <w:rsid w:val="00E825A1"/>
    <w:rsid w:val="00E82C55"/>
    <w:rsid w:val="00E8787E"/>
    <w:rsid w:val="00E907A8"/>
    <w:rsid w:val="00E90818"/>
    <w:rsid w:val="00E92AC3"/>
    <w:rsid w:val="00E957FA"/>
    <w:rsid w:val="00EA2F6A"/>
    <w:rsid w:val="00EA364A"/>
    <w:rsid w:val="00EA77F1"/>
    <w:rsid w:val="00EA78DC"/>
    <w:rsid w:val="00EB00E0"/>
    <w:rsid w:val="00EB05D5"/>
    <w:rsid w:val="00EB1931"/>
    <w:rsid w:val="00EC059F"/>
    <w:rsid w:val="00EC1F24"/>
    <w:rsid w:val="00EC20FF"/>
    <w:rsid w:val="00EC22F6"/>
    <w:rsid w:val="00ED2A45"/>
    <w:rsid w:val="00ED5B9B"/>
    <w:rsid w:val="00ED6BAD"/>
    <w:rsid w:val="00ED7447"/>
    <w:rsid w:val="00EE00D6"/>
    <w:rsid w:val="00EE11E7"/>
    <w:rsid w:val="00EE1488"/>
    <w:rsid w:val="00EE1730"/>
    <w:rsid w:val="00EE29AD"/>
    <w:rsid w:val="00EE3E24"/>
    <w:rsid w:val="00EE4D5D"/>
    <w:rsid w:val="00EE5131"/>
    <w:rsid w:val="00EF109B"/>
    <w:rsid w:val="00EF1F3B"/>
    <w:rsid w:val="00EF201C"/>
    <w:rsid w:val="00EF2C72"/>
    <w:rsid w:val="00EF36AF"/>
    <w:rsid w:val="00EF59A3"/>
    <w:rsid w:val="00EF6675"/>
    <w:rsid w:val="00F0063D"/>
    <w:rsid w:val="00F00F9C"/>
    <w:rsid w:val="00F01E5F"/>
    <w:rsid w:val="00F024F3"/>
    <w:rsid w:val="00F02ABA"/>
    <w:rsid w:val="00F0437A"/>
    <w:rsid w:val="00F101B8"/>
    <w:rsid w:val="00F10C7D"/>
    <w:rsid w:val="00F10F02"/>
    <w:rsid w:val="00F11037"/>
    <w:rsid w:val="00F16F1B"/>
    <w:rsid w:val="00F20826"/>
    <w:rsid w:val="00F250A9"/>
    <w:rsid w:val="00F267AF"/>
    <w:rsid w:val="00F30873"/>
    <w:rsid w:val="00F30FF4"/>
    <w:rsid w:val="00F3122E"/>
    <w:rsid w:val="00F32368"/>
    <w:rsid w:val="00F32BDA"/>
    <w:rsid w:val="00F331AD"/>
    <w:rsid w:val="00F35287"/>
    <w:rsid w:val="00F40A70"/>
    <w:rsid w:val="00F437B7"/>
    <w:rsid w:val="00F43A37"/>
    <w:rsid w:val="00F45635"/>
    <w:rsid w:val="00F4641B"/>
    <w:rsid w:val="00F46EB8"/>
    <w:rsid w:val="00F476B8"/>
    <w:rsid w:val="00F50CD1"/>
    <w:rsid w:val="00F511E4"/>
    <w:rsid w:val="00F52B1D"/>
    <w:rsid w:val="00F52D09"/>
    <w:rsid w:val="00F52E08"/>
    <w:rsid w:val="00F53A66"/>
    <w:rsid w:val="00F5462D"/>
    <w:rsid w:val="00F54B83"/>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632C"/>
    <w:rsid w:val="00F96C0B"/>
    <w:rsid w:val="00F97919"/>
    <w:rsid w:val="00FA2C46"/>
    <w:rsid w:val="00FA3525"/>
    <w:rsid w:val="00FA5A53"/>
    <w:rsid w:val="00FB34B7"/>
    <w:rsid w:val="00FB3501"/>
    <w:rsid w:val="00FB447E"/>
    <w:rsid w:val="00FB4769"/>
    <w:rsid w:val="00FB4CDA"/>
    <w:rsid w:val="00FB6481"/>
    <w:rsid w:val="00FB6D36"/>
    <w:rsid w:val="00FC0965"/>
    <w:rsid w:val="00FC0F81"/>
    <w:rsid w:val="00FC20D1"/>
    <w:rsid w:val="00FC252F"/>
    <w:rsid w:val="00FC395C"/>
    <w:rsid w:val="00FC481A"/>
    <w:rsid w:val="00FC5E8E"/>
    <w:rsid w:val="00FC65A4"/>
    <w:rsid w:val="00FC69C7"/>
    <w:rsid w:val="00FD3766"/>
    <w:rsid w:val="00FD47C4"/>
    <w:rsid w:val="00FE2DCF"/>
    <w:rsid w:val="00FE3FA7"/>
    <w:rsid w:val="00FF2A4E"/>
    <w:rsid w:val="00FF2FCE"/>
    <w:rsid w:val="00FF4F7D"/>
    <w:rsid w:val="00FF6D9D"/>
    <w:rsid w:val="00FF7DD5"/>
    <w:rsid w:val="0AC8BECF"/>
    <w:rsid w:val="11458CB6"/>
    <w:rsid w:val="12F2C56E"/>
    <w:rsid w:val="36C8D8C6"/>
    <w:rsid w:val="3BE7396F"/>
    <w:rsid w:val="47CA85F6"/>
    <w:rsid w:val="49665657"/>
    <w:rsid w:val="57510F93"/>
    <w:rsid w:val="74628B5F"/>
    <w:rsid w:val="7F45929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0609C5E"/>
  <w15:docId w15:val="{2AE1DC8C-AF83-42BF-AD73-C96A25F0C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2753BB"/>
    <w:pPr>
      <w:keepNext/>
      <w:keepLines/>
      <w:spacing w:before="320" w:after="200" w:line="440" w:lineRule="atLeast"/>
      <w:outlineLvl w:val="0"/>
    </w:pPr>
    <w:rPr>
      <w:rFonts w:ascii="Arial" w:eastAsia="MS Gothic" w:hAnsi="Arial" w:cs="Arial"/>
      <w:bCs/>
      <w:color w:val="00828C"/>
      <w:kern w:val="32"/>
      <w:sz w:val="40"/>
      <w:szCs w:val="40"/>
      <w:lang w:eastAsia="en-US"/>
    </w:rPr>
  </w:style>
  <w:style w:type="paragraph" w:styleId="Heading2">
    <w:name w:val="heading 2"/>
    <w:next w:val="Body"/>
    <w:link w:val="Heading2Char"/>
    <w:uiPriority w:val="1"/>
    <w:qFormat/>
    <w:rsid w:val="002753BB"/>
    <w:pPr>
      <w:keepNext/>
      <w:keepLines/>
      <w:spacing w:before="240" w:after="90" w:line="340" w:lineRule="atLeast"/>
      <w:outlineLvl w:val="1"/>
    </w:pPr>
    <w:rPr>
      <w:rFonts w:ascii="Arial" w:hAnsi="Arial"/>
      <w:b/>
      <w:color w:val="00828C"/>
      <w:sz w:val="32"/>
      <w:szCs w:val="28"/>
      <w:lang w:eastAsia="en-US"/>
    </w:rPr>
  </w:style>
  <w:style w:type="paragraph" w:styleId="Heading3">
    <w:name w:val="heading 3"/>
    <w:next w:val="Body"/>
    <w:link w:val="Heading3Char"/>
    <w:uiPriority w:val="1"/>
    <w:qFormat/>
    <w:rsid w:val="002753BB"/>
    <w:pPr>
      <w:keepNext/>
      <w:keepLines/>
      <w:spacing w:before="280" w:after="120" w:line="310" w:lineRule="atLeast"/>
      <w:outlineLvl w:val="2"/>
    </w:pPr>
    <w:rPr>
      <w:rFonts w:ascii="Arial" w:eastAsia="MS Gothic" w:hAnsi="Arial"/>
      <w:b/>
      <w:bCs/>
      <w:color w:val="00828C"/>
      <w:sz w:val="27"/>
      <w:szCs w:val="26"/>
      <w:lang w:eastAsia="en-US"/>
    </w:rPr>
  </w:style>
  <w:style w:type="paragraph" w:styleId="Heading4">
    <w:name w:val="heading 4"/>
    <w:next w:val="Body"/>
    <w:link w:val="Heading4Char"/>
    <w:uiPriority w:val="1"/>
    <w:qFormat/>
    <w:rsid w:val="002753BB"/>
    <w:pPr>
      <w:keepNext/>
      <w:keepLines/>
      <w:spacing w:before="240" w:after="120" w:line="280" w:lineRule="atLeast"/>
      <w:outlineLvl w:val="3"/>
    </w:pPr>
    <w:rPr>
      <w:rFonts w:ascii="Arial" w:eastAsia="MS Mincho" w:hAnsi="Arial"/>
      <w:b/>
      <w:bCs/>
      <w:color w:val="00828C"/>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2753BB"/>
    <w:rPr>
      <w:rFonts w:ascii="Arial" w:eastAsia="MS Gothic" w:hAnsi="Arial" w:cs="Arial"/>
      <w:bCs/>
      <w:color w:val="00828C"/>
      <w:kern w:val="32"/>
      <w:sz w:val="40"/>
      <w:szCs w:val="40"/>
      <w:lang w:eastAsia="en-US"/>
    </w:rPr>
  </w:style>
  <w:style w:type="character" w:customStyle="1" w:styleId="Heading2Char">
    <w:name w:val="Heading 2 Char"/>
    <w:link w:val="Heading2"/>
    <w:uiPriority w:val="1"/>
    <w:rsid w:val="002753BB"/>
    <w:rPr>
      <w:rFonts w:ascii="Arial" w:hAnsi="Arial"/>
      <w:b/>
      <w:color w:val="00828C"/>
      <w:sz w:val="32"/>
      <w:szCs w:val="28"/>
      <w:lang w:eastAsia="en-US"/>
    </w:rPr>
  </w:style>
  <w:style w:type="character" w:customStyle="1" w:styleId="Heading3Char">
    <w:name w:val="Heading 3 Char"/>
    <w:link w:val="Heading3"/>
    <w:uiPriority w:val="1"/>
    <w:rsid w:val="002753BB"/>
    <w:rPr>
      <w:rFonts w:ascii="Arial" w:eastAsia="MS Gothic" w:hAnsi="Arial"/>
      <w:b/>
      <w:bCs/>
      <w:color w:val="00828C"/>
      <w:sz w:val="27"/>
      <w:szCs w:val="26"/>
      <w:lang w:eastAsia="en-US"/>
    </w:rPr>
  </w:style>
  <w:style w:type="character" w:customStyle="1" w:styleId="Heading4Char">
    <w:name w:val="Heading 4 Char"/>
    <w:link w:val="Heading4"/>
    <w:uiPriority w:val="1"/>
    <w:rsid w:val="002753BB"/>
    <w:rPr>
      <w:rFonts w:ascii="Arial" w:eastAsia="MS Mincho" w:hAnsi="Arial"/>
      <w:b/>
      <w:bCs/>
      <w:color w:val="00828C"/>
      <w:sz w:val="24"/>
      <w:szCs w:val="22"/>
      <w:lang w:eastAsia="en-US"/>
    </w:rPr>
  </w:style>
  <w:style w:type="paragraph" w:styleId="Header">
    <w:name w:val="header"/>
    <w:uiPriority w:val="10"/>
    <w:rsid w:val="00443770"/>
    <w:pPr>
      <w:spacing w:after="300"/>
    </w:pPr>
    <w:rPr>
      <w:rFonts w:ascii="Arial" w:hAnsi="Arial" w:cs="Arial"/>
      <w:color w:val="201547"/>
      <w:sz w:val="18"/>
      <w:szCs w:val="18"/>
      <w:lang w:eastAsia="en-US"/>
    </w:rPr>
  </w:style>
  <w:style w:type="paragraph" w:styleId="Footer">
    <w:name w:val="footer"/>
    <w:uiPriority w:val="8"/>
    <w:rsid w:val="00B26256"/>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2753BB"/>
    <w:pPr>
      <w:spacing w:before="360" w:after="200" w:line="330" w:lineRule="atLeast"/>
      <w:outlineLvl w:val="9"/>
    </w:pPr>
    <w:rPr>
      <w:sz w:val="29"/>
    </w:rPr>
  </w:style>
  <w:style w:type="character" w:customStyle="1" w:styleId="TOCheadingfactsheetChar">
    <w:name w:val="TOC heading fact sheet Char"/>
    <w:link w:val="TOCheadingfactsheet"/>
    <w:uiPriority w:val="4"/>
    <w:rsid w:val="002753BB"/>
    <w:rPr>
      <w:rFonts w:ascii="Arial" w:hAnsi="Arial"/>
      <w:b/>
      <w:color w:val="00828C"/>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2753BB"/>
    <w:pPr>
      <w:spacing w:after="80" w:line="460" w:lineRule="atLeast"/>
    </w:pPr>
    <w:rPr>
      <w:rFonts w:ascii="Arial" w:hAnsi="Arial"/>
      <w:b/>
      <w:color w:val="00828C"/>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2753BB"/>
    <w:pPr>
      <w:spacing w:before="80" w:after="60"/>
    </w:pPr>
    <w:rPr>
      <w:rFonts w:ascii="Arial" w:hAnsi="Arial"/>
      <w:b/>
      <w:color w:val="00828C"/>
      <w:sz w:val="21"/>
      <w:lang w:eastAsia="en-US"/>
    </w:rPr>
  </w:style>
  <w:style w:type="paragraph" w:customStyle="1" w:styleId="Bulletafternumbers1">
    <w:name w:val="Bullet after numbers 1"/>
    <w:basedOn w:val="Body"/>
    <w:uiPriority w:val="4"/>
    <w:rsid w:val="00337339"/>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2753BB"/>
    <w:pPr>
      <w:spacing w:after="100"/>
    </w:pPr>
    <w:rPr>
      <w:rFonts w:ascii="Arial" w:hAnsi="Arial"/>
      <w:color w:val="00828C"/>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Numberloweralphaindent"/>
    <w:uiPriority w:val="3"/>
    <w:rsid w:val="00337339"/>
    <w:pPr>
      <w:numPr>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paragraph">
    <w:name w:val="paragraph"/>
    <w:basedOn w:val="Normal"/>
    <w:rsid w:val="00065D4B"/>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065D4B"/>
  </w:style>
  <w:style w:type="character" w:customStyle="1" w:styleId="eop">
    <w:name w:val="eop"/>
    <w:basedOn w:val="DefaultParagraphFont"/>
    <w:rsid w:val="00065D4B"/>
  </w:style>
  <w:style w:type="paragraph" w:styleId="Caption">
    <w:name w:val="caption"/>
    <w:basedOn w:val="Normal"/>
    <w:next w:val="Normal"/>
    <w:uiPriority w:val="35"/>
    <w:unhideWhenUsed/>
    <w:qFormat/>
    <w:rsid w:val="00AB5684"/>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67038243">
      <w:bodyDiv w:val="1"/>
      <w:marLeft w:val="0"/>
      <w:marRight w:val="0"/>
      <w:marTop w:val="0"/>
      <w:marBottom w:val="0"/>
      <w:divBdr>
        <w:top w:val="none" w:sz="0" w:space="0" w:color="auto"/>
        <w:left w:val="none" w:sz="0" w:space="0" w:color="auto"/>
        <w:bottom w:val="none" w:sz="0" w:space="0" w:color="auto"/>
        <w:right w:val="none" w:sz="0" w:space="0" w:color="auto"/>
      </w:divBdr>
      <w:divsChild>
        <w:div w:id="199517045">
          <w:marLeft w:val="0"/>
          <w:marRight w:val="0"/>
          <w:marTop w:val="0"/>
          <w:marBottom w:val="0"/>
          <w:divBdr>
            <w:top w:val="none" w:sz="0" w:space="0" w:color="auto"/>
            <w:left w:val="none" w:sz="0" w:space="0" w:color="auto"/>
            <w:bottom w:val="none" w:sz="0" w:space="0" w:color="auto"/>
            <w:right w:val="none" w:sz="0" w:space="0" w:color="auto"/>
          </w:divBdr>
        </w:div>
        <w:div w:id="328485657">
          <w:marLeft w:val="0"/>
          <w:marRight w:val="0"/>
          <w:marTop w:val="0"/>
          <w:marBottom w:val="0"/>
          <w:divBdr>
            <w:top w:val="none" w:sz="0" w:space="0" w:color="auto"/>
            <w:left w:val="none" w:sz="0" w:space="0" w:color="auto"/>
            <w:bottom w:val="none" w:sz="0" w:space="0" w:color="auto"/>
            <w:right w:val="none" w:sz="0" w:space="0" w:color="auto"/>
          </w:divBdr>
        </w:div>
        <w:div w:id="426343051">
          <w:marLeft w:val="0"/>
          <w:marRight w:val="0"/>
          <w:marTop w:val="0"/>
          <w:marBottom w:val="0"/>
          <w:divBdr>
            <w:top w:val="none" w:sz="0" w:space="0" w:color="auto"/>
            <w:left w:val="none" w:sz="0" w:space="0" w:color="auto"/>
            <w:bottom w:val="none" w:sz="0" w:space="0" w:color="auto"/>
            <w:right w:val="none" w:sz="0" w:space="0" w:color="auto"/>
          </w:divBdr>
        </w:div>
        <w:div w:id="468254745">
          <w:marLeft w:val="0"/>
          <w:marRight w:val="0"/>
          <w:marTop w:val="0"/>
          <w:marBottom w:val="0"/>
          <w:divBdr>
            <w:top w:val="none" w:sz="0" w:space="0" w:color="auto"/>
            <w:left w:val="none" w:sz="0" w:space="0" w:color="auto"/>
            <w:bottom w:val="none" w:sz="0" w:space="0" w:color="auto"/>
            <w:right w:val="none" w:sz="0" w:space="0" w:color="auto"/>
          </w:divBdr>
        </w:div>
        <w:div w:id="520166762">
          <w:marLeft w:val="0"/>
          <w:marRight w:val="0"/>
          <w:marTop w:val="0"/>
          <w:marBottom w:val="0"/>
          <w:divBdr>
            <w:top w:val="none" w:sz="0" w:space="0" w:color="auto"/>
            <w:left w:val="none" w:sz="0" w:space="0" w:color="auto"/>
            <w:bottom w:val="none" w:sz="0" w:space="0" w:color="auto"/>
            <w:right w:val="none" w:sz="0" w:space="0" w:color="auto"/>
          </w:divBdr>
        </w:div>
        <w:div w:id="791748965">
          <w:marLeft w:val="0"/>
          <w:marRight w:val="0"/>
          <w:marTop w:val="0"/>
          <w:marBottom w:val="0"/>
          <w:divBdr>
            <w:top w:val="none" w:sz="0" w:space="0" w:color="auto"/>
            <w:left w:val="none" w:sz="0" w:space="0" w:color="auto"/>
            <w:bottom w:val="none" w:sz="0" w:space="0" w:color="auto"/>
            <w:right w:val="none" w:sz="0" w:space="0" w:color="auto"/>
          </w:divBdr>
        </w:div>
        <w:div w:id="960382970">
          <w:marLeft w:val="0"/>
          <w:marRight w:val="0"/>
          <w:marTop w:val="0"/>
          <w:marBottom w:val="0"/>
          <w:divBdr>
            <w:top w:val="none" w:sz="0" w:space="0" w:color="auto"/>
            <w:left w:val="none" w:sz="0" w:space="0" w:color="auto"/>
            <w:bottom w:val="none" w:sz="0" w:space="0" w:color="auto"/>
            <w:right w:val="none" w:sz="0" w:space="0" w:color="auto"/>
          </w:divBdr>
        </w:div>
        <w:div w:id="981080561">
          <w:marLeft w:val="0"/>
          <w:marRight w:val="0"/>
          <w:marTop w:val="0"/>
          <w:marBottom w:val="0"/>
          <w:divBdr>
            <w:top w:val="none" w:sz="0" w:space="0" w:color="auto"/>
            <w:left w:val="none" w:sz="0" w:space="0" w:color="auto"/>
            <w:bottom w:val="none" w:sz="0" w:space="0" w:color="auto"/>
            <w:right w:val="none" w:sz="0" w:space="0" w:color="auto"/>
          </w:divBdr>
        </w:div>
        <w:div w:id="1081875806">
          <w:marLeft w:val="0"/>
          <w:marRight w:val="0"/>
          <w:marTop w:val="0"/>
          <w:marBottom w:val="0"/>
          <w:divBdr>
            <w:top w:val="none" w:sz="0" w:space="0" w:color="auto"/>
            <w:left w:val="none" w:sz="0" w:space="0" w:color="auto"/>
            <w:bottom w:val="none" w:sz="0" w:space="0" w:color="auto"/>
            <w:right w:val="none" w:sz="0" w:space="0" w:color="auto"/>
          </w:divBdr>
        </w:div>
        <w:div w:id="1108043721">
          <w:marLeft w:val="0"/>
          <w:marRight w:val="0"/>
          <w:marTop w:val="0"/>
          <w:marBottom w:val="0"/>
          <w:divBdr>
            <w:top w:val="none" w:sz="0" w:space="0" w:color="auto"/>
            <w:left w:val="none" w:sz="0" w:space="0" w:color="auto"/>
            <w:bottom w:val="none" w:sz="0" w:space="0" w:color="auto"/>
            <w:right w:val="none" w:sz="0" w:space="0" w:color="auto"/>
          </w:divBdr>
        </w:div>
        <w:div w:id="1108618848">
          <w:marLeft w:val="0"/>
          <w:marRight w:val="0"/>
          <w:marTop w:val="0"/>
          <w:marBottom w:val="0"/>
          <w:divBdr>
            <w:top w:val="none" w:sz="0" w:space="0" w:color="auto"/>
            <w:left w:val="none" w:sz="0" w:space="0" w:color="auto"/>
            <w:bottom w:val="none" w:sz="0" w:space="0" w:color="auto"/>
            <w:right w:val="none" w:sz="0" w:space="0" w:color="auto"/>
          </w:divBdr>
        </w:div>
        <w:div w:id="1204362325">
          <w:marLeft w:val="0"/>
          <w:marRight w:val="0"/>
          <w:marTop w:val="0"/>
          <w:marBottom w:val="0"/>
          <w:divBdr>
            <w:top w:val="none" w:sz="0" w:space="0" w:color="auto"/>
            <w:left w:val="none" w:sz="0" w:space="0" w:color="auto"/>
            <w:bottom w:val="none" w:sz="0" w:space="0" w:color="auto"/>
            <w:right w:val="none" w:sz="0" w:space="0" w:color="auto"/>
          </w:divBdr>
        </w:div>
        <w:div w:id="1531911538">
          <w:marLeft w:val="0"/>
          <w:marRight w:val="0"/>
          <w:marTop w:val="0"/>
          <w:marBottom w:val="0"/>
          <w:divBdr>
            <w:top w:val="none" w:sz="0" w:space="0" w:color="auto"/>
            <w:left w:val="none" w:sz="0" w:space="0" w:color="auto"/>
            <w:bottom w:val="none" w:sz="0" w:space="0" w:color="auto"/>
            <w:right w:val="none" w:sz="0" w:space="0" w:color="auto"/>
          </w:divBdr>
        </w:div>
        <w:div w:id="1687249253">
          <w:marLeft w:val="0"/>
          <w:marRight w:val="0"/>
          <w:marTop w:val="0"/>
          <w:marBottom w:val="0"/>
          <w:divBdr>
            <w:top w:val="none" w:sz="0" w:space="0" w:color="auto"/>
            <w:left w:val="none" w:sz="0" w:space="0" w:color="auto"/>
            <w:bottom w:val="none" w:sz="0" w:space="0" w:color="auto"/>
            <w:right w:val="none" w:sz="0" w:space="0" w:color="auto"/>
          </w:divBdr>
        </w:div>
        <w:div w:id="1850410569">
          <w:marLeft w:val="0"/>
          <w:marRight w:val="0"/>
          <w:marTop w:val="0"/>
          <w:marBottom w:val="0"/>
          <w:divBdr>
            <w:top w:val="none" w:sz="0" w:space="0" w:color="auto"/>
            <w:left w:val="none" w:sz="0" w:space="0" w:color="auto"/>
            <w:bottom w:val="none" w:sz="0" w:space="0" w:color="auto"/>
            <w:right w:val="none" w:sz="0" w:space="0" w:color="auto"/>
          </w:divBdr>
        </w:div>
        <w:div w:id="2019262359">
          <w:marLeft w:val="0"/>
          <w:marRight w:val="0"/>
          <w:marTop w:val="0"/>
          <w:marBottom w:val="0"/>
          <w:divBdr>
            <w:top w:val="none" w:sz="0" w:space="0" w:color="auto"/>
            <w:left w:val="none" w:sz="0" w:space="0" w:color="auto"/>
            <w:bottom w:val="none" w:sz="0" w:space="0" w:color="auto"/>
            <w:right w:val="none" w:sz="0" w:space="0" w:color="auto"/>
          </w:divBdr>
        </w:div>
        <w:div w:id="2064792700">
          <w:marLeft w:val="0"/>
          <w:marRight w:val="0"/>
          <w:marTop w:val="0"/>
          <w:marBottom w:val="0"/>
          <w:divBdr>
            <w:top w:val="none" w:sz="0" w:space="0" w:color="auto"/>
            <w:left w:val="none" w:sz="0" w:space="0" w:color="auto"/>
            <w:bottom w:val="none" w:sz="0" w:space="0" w:color="auto"/>
            <w:right w:val="none" w:sz="0" w:space="0" w:color="auto"/>
          </w:divBdr>
        </w:div>
        <w:div w:id="2072144626">
          <w:marLeft w:val="0"/>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mailto:regulationreform@dhhs.vic.gov.au"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dhhs.vic.gov.au/human-services-regulato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e0212\AppData\Local\Microsoft\Windows\INetCache\Content.Outlook\0X09FNUA\DFFH%20A4%20portrait%20factsheet%20Te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1ef5222-d273-4e86-adbf-8aa3d9e99a84">
      <UserInfo>
        <DisplayName>SharingLinks.bb125a98-7907-4933-b4a0-a8393e3d2277.OrganizationView.0c9faccc-21fc-4c3e-af08-f782023e09d9</DisplayName>
        <AccountId>25</AccountId>
        <AccountType/>
      </UserInfo>
      <UserInfo>
        <DisplayName>Hayden Nicholls (DFFH)</DisplayName>
        <AccountId>49</AccountId>
        <AccountType/>
      </UserInfo>
      <UserInfo>
        <DisplayName>Antonia Magee (DFFH)</DisplayName>
        <AccountId>134</AccountId>
        <AccountType/>
      </UserInfo>
      <UserInfo>
        <DisplayName>Travers Purton (DFFH)</DisplayName>
        <AccountId>17</AccountId>
        <AccountType/>
      </UserInfo>
      <UserInfo>
        <DisplayName>Anthony Perrin (DFFH)</DisplayName>
        <AccountId>1287</AccountId>
        <AccountType/>
      </UserInfo>
      <UserInfo>
        <DisplayName>Tim Eaton (DFFH)</DisplayName>
        <AccountId>1286</AccountId>
        <AccountType/>
      </UserInfo>
      <UserInfo>
        <DisplayName>Amy McDowell (DFFH)</DisplayName>
        <AccountId>1285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13" ma:contentTypeDescription="Create a new document." ma:contentTypeScope="" ma:versionID="20d8a3a08263bfc3d5eda99ae56757a6">
  <xsd:schema xmlns:xsd="http://www.w3.org/2001/XMLSchema" xmlns:xs="http://www.w3.org/2001/XMLSchema" xmlns:p="http://schemas.microsoft.com/office/2006/metadata/properties" xmlns:ns2="06badf41-c0a1-41a6-983a-efd542c2c878" xmlns:ns3="51ef5222-d273-4e86-adbf-8aa3d9e99a84" targetNamespace="http://schemas.microsoft.com/office/2006/metadata/properties" ma:root="true" ma:fieldsID="021cd9935d148cff793da406b87488ba" ns2:_="" ns3:_="">
    <xsd:import namespace="06badf41-c0a1-41a6-983a-efd542c2c878"/>
    <xsd:import namespace="51ef5222-d273-4e86-adbf-8aa3d9e99a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purl.org/dc/dcmitype/"/>
    <ds:schemaRef ds:uri="http://schemas.microsoft.com/office/infopath/2007/PartnerControls"/>
    <ds:schemaRef ds:uri="51ef5222-d273-4e86-adbf-8aa3d9e99a84"/>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06badf41-c0a1-41a6-983a-efd542c2c878"/>
    <ds:schemaRef ds:uri="http://www.w3.org/XML/1998/namespace"/>
  </ds:schemaRefs>
</ds:datastoreItem>
</file>

<file path=customXml/itemProps2.xml><?xml version="1.0" encoding="utf-8"?>
<ds:datastoreItem xmlns:ds="http://schemas.openxmlformats.org/officeDocument/2006/customXml" ds:itemID="{49BA833E-54B2-40E9-96CE-E3BADE788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adf41-c0a1-41a6-983a-efd542c2c878"/>
    <ds:schemaRef ds:uri="51ef5222-d273-4e86-adbf-8aa3d9e99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65EF40-C393-4EBF-88F8-6D33E83C0BC1}">
  <ds:schemaRefs>
    <ds:schemaRef ds:uri="http://schemas.openxmlformats.org/officeDocument/2006/bibliography"/>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DFFH A4 portrait factsheet Teal.dotx</Template>
  <TotalTime>26</TotalTime>
  <Pages>4</Pages>
  <Words>943</Words>
  <Characters>5821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Social Services Regulation Reform teal factsheet</vt:lpstr>
    </vt:vector>
  </TitlesOfParts>
  <Company>Victoria State Government, Department of Familes, Fairness and Housing</Company>
  <LinksUpToDate>false</LinksUpToDate>
  <CharactersWithSpaces>6751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Services Regulation Reform teal factsheet</dc:title>
  <dc:subject/>
  <dc:creator>Social Services Regulation Reform</dc:creator>
  <cp:keywords/>
  <cp:lastModifiedBy>Janet Westwood (DFFH)</cp:lastModifiedBy>
  <cp:revision>7</cp:revision>
  <cp:lastPrinted>2021-01-30T00:27:00Z</cp:lastPrinted>
  <dcterms:created xsi:type="dcterms:W3CDTF">2021-09-29T21:45:00Z</dcterms:created>
  <dcterms:modified xsi:type="dcterms:W3CDTF">2021-10-05T00:37:00Z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2021-10-05T00:37:46Z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