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3DDB" w14:textId="18CED013" w:rsidR="00B877A8" w:rsidRPr="00431F42" w:rsidRDefault="00A01FB1" w:rsidP="00B877A8">
      <w:pPr>
        <w:pStyle w:val="Documenttitle"/>
        <w:ind w:right="3202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1966DC4" wp14:editId="4A98059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850" cy="10185400"/>
            <wp:effectExtent l="0" t="0" r="0" b="635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b="4733"/>
                    <a:stretch/>
                  </pic:blipFill>
                  <pic:spPr bwMode="auto">
                    <a:xfrm>
                      <a:off x="0" y="0"/>
                      <a:ext cx="7563600" cy="10185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7A8" w:rsidRPr="00E44AEB">
        <w:t xml:space="preserve">Office of Professional Practice strategic plan </w:t>
      </w:r>
      <w:r w:rsidR="00B877A8">
        <w:br/>
      </w:r>
      <w:r w:rsidR="00B877A8" w:rsidRPr="00E44AEB">
        <w:t>July 2024 – June 2025</w:t>
      </w:r>
    </w:p>
    <w:p w14:paraId="58994510" w14:textId="77777777" w:rsidR="00B877A8" w:rsidRDefault="00000000" w:rsidP="00B877A8">
      <w:pPr>
        <w:pStyle w:val="Bannermarking"/>
        <w:ind w:right="3202"/>
      </w:pPr>
      <w:r>
        <w:fldChar w:fldCharType="begin"/>
      </w:r>
      <w:r>
        <w:instrText xml:space="preserve"> FILLIN  "Type the protective marking" \d OFFICIAL \o  \* MERGEFORMAT </w:instrText>
      </w:r>
      <w:r>
        <w:fldChar w:fldCharType="separate"/>
      </w:r>
      <w:r w:rsidR="00B877A8">
        <w:t>OFFICIAL</w:t>
      </w:r>
      <w:r>
        <w:fldChar w:fldCharType="end"/>
      </w:r>
    </w:p>
    <w:p w14:paraId="3B4B7FED" w14:textId="5A778641" w:rsidR="00FE4081" w:rsidRPr="00FE4081" w:rsidRDefault="00FE4081" w:rsidP="00FE4081">
      <w:pPr>
        <w:pStyle w:val="Body"/>
        <w:sectPr w:rsidR="00FE4081" w:rsidRPr="00FE4081" w:rsidSect="00F1514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851" w:left="1304" w:header="680" w:footer="567" w:gutter="0"/>
          <w:cols w:space="340"/>
          <w:titlePg/>
          <w:docGrid w:linePitch="360"/>
        </w:sectPr>
      </w:pPr>
    </w:p>
    <w:p w14:paraId="2AFD5FEA" w14:textId="2D5126EF" w:rsidR="005A6580" w:rsidRDefault="005A6580" w:rsidP="005A6580">
      <w:pPr>
        <w:pStyle w:val="Accessibilitypara"/>
      </w:pPr>
      <w:r w:rsidRPr="0055119B">
        <w:lastRenderedPageBreak/>
        <w:t>To receive this document in another format</w:t>
      </w:r>
      <w:r>
        <w:t>,</w:t>
      </w:r>
      <w:r w:rsidRPr="0055119B">
        <w:t xml:space="preserve"> email </w:t>
      </w:r>
      <w:r>
        <w:t xml:space="preserve">the </w:t>
      </w:r>
      <w:r w:rsidRPr="005A6580">
        <w:t>Office of Professional Practice</w:t>
      </w:r>
      <w:r w:rsidRPr="0055119B">
        <w:rPr>
          <w:color w:val="004C97"/>
        </w:rPr>
        <w:t xml:space="preserve"> </w:t>
      </w:r>
      <w:hyperlink r:id="rId18" w:history="1">
        <w:r w:rsidRPr="00D52C85">
          <w:rPr>
            <w:rStyle w:val="Hyperlink"/>
          </w:rPr>
          <w:t>oppdirectorate@dffh.vic.gov.au</w:t>
        </w:r>
      </w:hyperlink>
    </w:p>
    <w:p w14:paraId="08B4905F" w14:textId="77777777" w:rsidR="005A6580" w:rsidRPr="0055119B" w:rsidRDefault="005A6580" w:rsidP="005A6580">
      <w:pPr>
        <w:pStyle w:val="Imprint"/>
      </w:pPr>
      <w:r w:rsidRPr="0055119B">
        <w:t>Authorised and published by the Victorian Government, 1 Treasury Place, Melbourne.</w:t>
      </w:r>
    </w:p>
    <w:p w14:paraId="12134E14" w14:textId="5161B614" w:rsidR="005A6580" w:rsidRPr="0055119B" w:rsidRDefault="005A6580" w:rsidP="00C26C0D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 w:rsidR="00317624" w:rsidRPr="008664B1">
        <w:t xml:space="preserve">July </w:t>
      </w:r>
      <w:r w:rsidRPr="008664B1">
        <w:t>2024.</w:t>
      </w:r>
    </w:p>
    <w:p w14:paraId="09A70646" w14:textId="1C7FBCC4" w:rsidR="005A6580" w:rsidRPr="00BE38F5" w:rsidRDefault="005A6580" w:rsidP="005A6580">
      <w:pPr>
        <w:pStyle w:val="Imprint"/>
      </w:pPr>
      <w:bookmarkStart w:id="0" w:name="_Hlk62746129"/>
      <w:r w:rsidRPr="00BE38F5">
        <w:t xml:space="preserve">In this document, ‘Aboriginal’ refers to both Aboriginal and Torres Strait Islander people. </w:t>
      </w:r>
    </w:p>
    <w:p w14:paraId="67A856F6" w14:textId="12F3057A" w:rsidR="005A6580" w:rsidRPr="0055119B" w:rsidRDefault="002767BE" w:rsidP="005A6580">
      <w:pPr>
        <w:pStyle w:val="Imprint"/>
      </w:pPr>
      <w:r>
        <w:rPr>
          <w:rFonts w:cs="Arial"/>
          <w:b/>
          <w:bCs/>
          <w:color w:val="000000"/>
        </w:rPr>
        <w:t xml:space="preserve">ISBN </w:t>
      </w:r>
      <w:r>
        <w:rPr>
          <w:rFonts w:cs="Arial"/>
          <w:color w:val="000000"/>
        </w:rPr>
        <w:t xml:space="preserve">978-1-76130-605-1 </w:t>
      </w:r>
      <w:r w:rsidR="005A6580" w:rsidRPr="0055119B">
        <w:t>(online/PDF/Word)</w:t>
      </w:r>
    </w:p>
    <w:bookmarkEnd w:id="0"/>
    <w:p w14:paraId="4601A478" w14:textId="53BC3466" w:rsidR="00C26C0D" w:rsidRPr="00C26C0D" w:rsidRDefault="00E13242" w:rsidP="00C26C0D">
      <w:pPr>
        <w:pStyle w:val="NormalWeb"/>
        <w:spacing w:before="0" w:beforeAutospacing="0" w:after="60" w:afterAutospacing="0" w:line="270" w:lineRule="atLeast"/>
        <w:rPr>
          <w:rFonts w:ascii="Arial" w:hAnsi="Arial" w:cs="Arial"/>
          <w:sz w:val="20"/>
          <w:szCs w:val="20"/>
        </w:rPr>
      </w:pPr>
      <w:r w:rsidRPr="00C26C0D">
        <w:rPr>
          <w:rFonts w:ascii="Arial" w:hAnsi="Arial" w:cs="Arial"/>
          <w:sz w:val="20"/>
          <w:szCs w:val="20"/>
        </w:rPr>
        <w:t xml:space="preserve">Available at </w:t>
      </w:r>
      <w:hyperlink r:id="rId19" w:history="1">
        <w:r w:rsidR="00D023AD" w:rsidRPr="00D023AD">
          <w:rPr>
            <w:rStyle w:val="Hyperlink"/>
            <w:rFonts w:ascii="Arial" w:hAnsi="Arial" w:cs="Arial"/>
            <w:sz w:val="20"/>
            <w:szCs w:val="20"/>
          </w:rPr>
          <w:t>Office of Professional Practice strategic plan 2024-2025</w:t>
        </w:r>
      </w:hyperlink>
      <w:r w:rsidR="00D023AD">
        <w:rPr>
          <w:rFonts w:ascii="Arial" w:hAnsi="Arial" w:cs="Arial"/>
          <w:sz w:val="20"/>
          <w:szCs w:val="20"/>
        </w:rPr>
        <w:t xml:space="preserve"> </w:t>
      </w:r>
      <w:r w:rsidR="00C26C0D" w:rsidRPr="00D023AD">
        <w:rPr>
          <w:rFonts w:ascii="Arial" w:hAnsi="Arial" w:cs="Arial"/>
          <w:sz w:val="20"/>
          <w:szCs w:val="20"/>
        </w:rPr>
        <w:t>https://www.dffh.vic.gov.au/publications/office-professional-practice-strategic-plan-2024-2025</w:t>
      </w:r>
    </w:p>
    <w:p w14:paraId="1EFCE42E" w14:textId="2F0A6300" w:rsidR="00E13242" w:rsidRPr="0055119B" w:rsidRDefault="00E13242" w:rsidP="005A6580">
      <w:pPr>
        <w:pStyle w:val="Imprint"/>
      </w:pPr>
      <w:r>
        <w:t>(</w:t>
      </w:r>
      <w:r w:rsidRPr="00E13242">
        <w:t>2307526</w:t>
      </w:r>
      <w:r>
        <w:t>)</w:t>
      </w:r>
    </w:p>
    <w:p w14:paraId="29F6E2C0" w14:textId="77777777" w:rsidR="002B458A" w:rsidRPr="008102F5" w:rsidRDefault="002B458A" w:rsidP="00985D12">
      <w:pPr>
        <w:pStyle w:val="heading1noTOC"/>
      </w:pPr>
      <w:r w:rsidRPr="008102F5">
        <w:t xml:space="preserve">Aboriginal acknowledgement </w:t>
      </w:r>
    </w:p>
    <w:p w14:paraId="7F65B504" w14:textId="77777777" w:rsidR="002B458A" w:rsidRDefault="002B458A" w:rsidP="002B458A">
      <w:pPr>
        <w:pStyle w:val="Body"/>
      </w:pPr>
      <w:r w:rsidRPr="00410A3D">
        <w:t>The Victorian Government acknowledges Victorian Aboriginal people as the First Peoples and Traditional Owners and Custodians of the land and water on which we rely.</w:t>
      </w:r>
    </w:p>
    <w:p w14:paraId="7BDE4F6A" w14:textId="77777777" w:rsidR="002B458A" w:rsidRDefault="002B458A" w:rsidP="002B458A">
      <w:pPr>
        <w:pStyle w:val="Body"/>
      </w:pPr>
      <w:r w:rsidRPr="00410A3D">
        <w:t xml:space="preserve">We acknowledge and respect that Aboriginal communities are steeped in traditions and customs built on a disciplined social and cultural order that has sustained 60,000 years of existence. We </w:t>
      </w:r>
      <w:r>
        <w:t>recognise the intergenerational consequences of colonisation, dispossession, child removal and other discriminatory government policies. We acknowledge that the impacts and structures of colonisation still exist today.</w:t>
      </w:r>
    </w:p>
    <w:p w14:paraId="1A99842E" w14:textId="77777777" w:rsidR="002B458A" w:rsidRDefault="002B458A" w:rsidP="002B458A">
      <w:pPr>
        <w:pStyle w:val="Body"/>
      </w:pPr>
      <w:r>
        <w:t>We commit to addressing these impacts by embedding cultural safety and self-determination in all that we do. This will allow Aboriginal Victorians have decision-making power and control to determine what is best for them.</w:t>
      </w:r>
    </w:p>
    <w:p w14:paraId="0E709721" w14:textId="77777777" w:rsidR="002B458A" w:rsidRPr="00852FB2" w:rsidRDefault="002B458A" w:rsidP="002B458A">
      <w:pPr>
        <w:pStyle w:val="Body"/>
      </w:pPr>
      <w:r w:rsidRPr="00410A3D">
        <w:t>We acknowledge the ongoing leadership role of Aboriginal communities</w:t>
      </w:r>
      <w:r>
        <w:t xml:space="preserve">. We </w:t>
      </w:r>
      <w:r w:rsidRPr="00410A3D">
        <w:t>will continue to work in collaboration with First Peoples.</w:t>
      </w:r>
    </w:p>
    <w:p w14:paraId="0A182FBD" w14:textId="328F7B3D" w:rsidR="0008204A" w:rsidRPr="0008204A" w:rsidRDefault="0008204A" w:rsidP="0008204A">
      <w:pPr>
        <w:pStyle w:val="Body"/>
      </w:pPr>
      <w:r w:rsidRPr="0008204A">
        <w:br w:type="page"/>
      </w:r>
    </w:p>
    <w:p w14:paraId="4028DB6E" w14:textId="0B4EE14E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15067516" w14:textId="5EF1900E" w:rsidR="00387D06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8102F5">
        <w:rPr>
          <w:b w:val="0"/>
          <w:bCs/>
        </w:rPr>
        <w:fldChar w:fldCharType="begin"/>
      </w:r>
      <w:r w:rsidRPr="008102F5">
        <w:rPr>
          <w:b w:val="0"/>
          <w:bCs/>
        </w:rPr>
        <w:instrText xml:space="preserve"> TOC \h \z \t "Heading 1,1,Heading 2,2" </w:instrText>
      </w:r>
      <w:r w:rsidRPr="008102F5">
        <w:rPr>
          <w:b w:val="0"/>
          <w:bCs/>
        </w:rPr>
        <w:fldChar w:fldCharType="separate"/>
      </w:r>
      <w:hyperlink w:anchor="_Toc170996531" w:history="1">
        <w:r w:rsidR="00387D06" w:rsidRPr="00983A52">
          <w:rPr>
            <w:rStyle w:val="Hyperlink"/>
          </w:rPr>
          <w:t>Message from the Office of Professional Practice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_Toc170996531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4</w:t>
        </w:r>
        <w:r w:rsidR="00387D06">
          <w:rPr>
            <w:webHidden/>
          </w:rPr>
          <w:fldChar w:fldCharType="end"/>
        </w:r>
      </w:hyperlink>
    </w:p>
    <w:p w14:paraId="33C68617" w14:textId="28E556D5" w:rsidR="00387D06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996532" w:history="1">
        <w:r w:rsidR="00387D06" w:rsidRPr="00983A52">
          <w:rPr>
            <w:rStyle w:val="Hyperlink"/>
          </w:rPr>
          <w:t>Our strategic plan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_Toc170996532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5</w:t>
        </w:r>
        <w:r w:rsidR="00387D06">
          <w:rPr>
            <w:webHidden/>
          </w:rPr>
          <w:fldChar w:fldCharType="end"/>
        </w:r>
      </w:hyperlink>
    </w:p>
    <w:p w14:paraId="6212E390" w14:textId="32373A48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33" w:history="1">
        <w:r w:rsidR="00387D06" w:rsidRPr="00983A52">
          <w:rPr>
            <w:rStyle w:val="Hyperlink"/>
          </w:rPr>
          <w:t>Our vision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_Toc170996533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5</w:t>
        </w:r>
        <w:r w:rsidR="00387D06">
          <w:rPr>
            <w:webHidden/>
          </w:rPr>
          <w:fldChar w:fldCharType="end"/>
        </w:r>
      </w:hyperlink>
    </w:p>
    <w:p w14:paraId="09B108E5" w14:textId="6BC8703A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34" w:history="1">
        <w:r w:rsidR="00387D06" w:rsidRPr="00983A52">
          <w:rPr>
            <w:rStyle w:val="Hyperlink"/>
          </w:rPr>
          <w:t>Our mission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_Toc170996534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5</w:t>
        </w:r>
        <w:r w:rsidR="00387D06">
          <w:rPr>
            <w:webHidden/>
          </w:rPr>
          <w:fldChar w:fldCharType="end"/>
        </w:r>
      </w:hyperlink>
    </w:p>
    <w:p w14:paraId="67AEFD26" w14:textId="506214EC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35" w:history="1">
        <w:r w:rsidR="00387D06" w:rsidRPr="00983A52">
          <w:rPr>
            <w:rStyle w:val="Hyperlink"/>
          </w:rPr>
          <w:t>Our guiding principles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_Toc170996535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5</w:t>
        </w:r>
        <w:r w:rsidR="00387D06">
          <w:rPr>
            <w:webHidden/>
          </w:rPr>
          <w:fldChar w:fldCharType="end"/>
        </w:r>
      </w:hyperlink>
    </w:p>
    <w:p w14:paraId="3F329157" w14:textId="17B00FE5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36" w:history="1">
        <w:r w:rsidR="00387D06" w:rsidRPr="00983A52">
          <w:rPr>
            <w:rStyle w:val="Hyperlink"/>
          </w:rPr>
          <w:t>Our people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_Toc170996536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5</w:t>
        </w:r>
        <w:r w:rsidR="00387D06">
          <w:rPr>
            <w:webHidden/>
          </w:rPr>
          <w:fldChar w:fldCharType="end"/>
        </w:r>
      </w:hyperlink>
    </w:p>
    <w:p w14:paraId="11FE9E16" w14:textId="3A8F1364" w:rsidR="00387D06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996537" w:history="1">
        <w:r w:rsidR="00387D06" w:rsidRPr="00983A52">
          <w:rPr>
            <w:rStyle w:val="Hyperlink"/>
          </w:rPr>
          <w:t>Role of the Office of Professional Practice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_Toc170996537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6</w:t>
        </w:r>
        <w:r w:rsidR="00387D06">
          <w:rPr>
            <w:webHidden/>
          </w:rPr>
          <w:fldChar w:fldCharType="end"/>
        </w:r>
      </w:hyperlink>
    </w:p>
    <w:p w14:paraId="70035F8C" w14:textId="5B402F99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38" w:history="1">
        <w:r w:rsidR="00387D06" w:rsidRPr="00983A52">
          <w:rPr>
            <w:rStyle w:val="Hyperlink"/>
          </w:rPr>
          <w:t>Definition of practice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_Toc170996538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6</w:t>
        </w:r>
        <w:r w:rsidR="00387D06">
          <w:rPr>
            <w:webHidden/>
          </w:rPr>
          <w:fldChar w:fldCharType="end"/>
        </w:r>
      </w:hyperlink>
    </w:p>
    <w:p w14:paraId="4C75687B" w14:textId="618CFE15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39" w:history="1">
        <w:r w:rsidR="00387D06" w:rsidRPr="00983A52">
          <w:rPr>
            <w:rStyle w:val="Hyperlink"/>
          </w:rPr>
          <w:t>Practice leadership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_Toc170996539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6</w:t>
        </w:r>
        <w:r w:rsidR="00387D06">
          <w:rPr>
            <w:webHidden/>
          </w:rPr>
          <w:fldChar w:fldCharType="end"/>
        </w:r>
      </w:hyperlink>
    </w:p>
    <w:p w14:paraId="4F3622CE" w14:textId="04FE505C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0" w:history="1">
        <w:r w:rsidR="00387D06" w:rsidRPr="00983A52">
          <w:rPr>
            <w:rStyle w:val="Hyperlink"/>
          </w:rPr>
          <w:t>Statutory responsibilities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_Toc170996540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7</w:t>
        </w:r>
        <w:r w:rsidR="00387D06">
          <w:rPr>
            <w:webHidden/>
          </w:rPr>
          <w:fldChar w:fldCharType="end"/>
        </w:r>
      </w:hyperlink>
    </w:p>
    <w:p w14:paraId="6AE216CB" w14:textId="3E1E6ECC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1" w:history="1">
        <w:r w:rsidR="00387D06" w:rsidRPr="00983A52">
          <w:rPr>
            <w:rStyle w:val="Hyperlink"/>
          </w:rPr>
          <w:t>Advice, guidance and support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_Toc170996541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7</w:t>
        </w:r>
        <w:r w:rsidR="00387D06">
          <w:rPr>
            <w:webHidden/>
          </w:rPr>
          <w:fldChar w:fldCharType="end"/>
        </w:r>
      </w:hyperlink>
    </w:p>
    <w:p w14:paraId="7E916167" w14:textId="3A977D17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2" w:history="1">
        <w:r w:rsidR="00387D06" w:rsidRPr="00983A52">
          <w:rPr>
            <w:rStyle w:val="Hyperlink"/>
          </w:rPr>
          <w:t>Contributing to reform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_Toc170996542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7</w:t>
        </w:r>
        <w:r w:rsidR="00387D06">
          <w:rPr>
            <w:webHidden/>
          </w:rPr>
          <w:fldChar w:fldCharType="end"/>
        </w:r>
      </w:hyperlink>
    </w:p>
    <w:p w14:paraId="2A52AFC5" w14:textId="7334F6DB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3" w:history="1">
        <w:r w:rsidR="00387D06" w:rsidRPr="00983A52">
          <w:rPr>
            <w:rStyle w:val="Hyperlink"/>
          </w:rPr>
          <w:t>Systemic analysis and responses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_Toc170996543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8</w:t>
        </w:r>
        <w:r w:rsidR="00387D06">
          <w:rPr>
            <w:webHidden/>
          </w:rPr>
          <w:fldChar w:fldCharType="end"/>
        </w:r>
      </w:hyperlink>
    </w:p>
    <w:p w14:paraId="412DDC14" w14:textId="5D8FBA09" w:rsidR="00387D06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996544" w:history="1">
        <w:r w:rsidR="00387D06" w:rsidRPr="00983A52">
          <w:rPr>
            <w:rStyle w:val="Hyperlink"/>
          </w:rPr>
          <w:t>Our practice leadership priorities in 2024–25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_Toc170996544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9</w:t>
        </w:r>
        <w:r w:rsidR="00387D06">
          <w:rPr>
            <w:webHidden/>
          </w:rPr>
          <w:fldChar w:fldCharType="end"/>
        </w:r>
      </w:hyperlink>
    </w:p>
    <w:p w14:paraId="1760B7FF" w14:textId="6793FFB0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5" w:history="1">
        <w:r w:rsidR="00387D06" w:rsidRPr="00983A52">
          <w:rPr>
            <w:rStyle w:val="Hyperlink"/>
          </w:rPr>
          <w:t>Building and promoting evidence-based practice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_Toc170996545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10</w:t>
        </w:r>
        <w:r w:rsidR="00387D06">
          <w:rPr>
            <w:webHidden/>
          </w:rPr>
          <w:fldChar w:fldCharType="end"/>
        </w:r>
      </w:hyperlink>
    </w:p>
    <w:p w14:paraId="747F651C" w14:textId="272A985B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6" w:history="1">
        <w:r w:rsidR="00387D06" w:rsidRPr="00983A52">
          <w:rPr>
            <w:rStyle w:val="Hyperlink"/>
          </w:rPr>
          <w:t>Supporting frontline workforces with expert practice advice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_Toc170996546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11</w:t>
        </w:r>
        <w:r w:rsidR="00387D06">
          <w:rPr>
            <w:webHidden/>
          </w:rPr>
          <w:fldChar w:fldCharType="end"/>
        </w:r>
      </w:hyperlink>
    </w:p>
    <w:p w14:paraId="5656DB35" w14:textId="7BB4BAAC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7" w:history="1">
        <w:r w:rsidR="00387D06" w:rsidRPr="00983A52">
          <w:rPr>
            <w:rStyle w:val="Hyperlink"/>
          </w:rPr>
          <w:t>Safeguarding and continuous improvement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_Toc170996547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12</w:t>
        </w:r>
        <w:r w:rsidR="00387D06">
          <w:rPr>
            <w:webHidden/>
          </w:rPr>
          <w:fldChar w:fldCharType="end"/>
        </w:r>
      </w:hyperlink>
    </w:p>
    <w:p w14:paraId="5D2459CB" w14:textId="0EC4DF15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8" w:history="1">
        <w:r w:rsidR="00387D06" w:rsidRPr="00983A52">
          <w:rPr>
            <w:rStyle w:val="Hyperlink"/>
          </w:rPr>
          <w:t>Delivering professional development for frontline workforces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_Toc170996548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13</w:t>
        </w:r>
        <w:r w:rsidR="00387D06">
          <w:rPr>
            <w:webHidden/>
          </w:rPr>
          <w:fldChar w:fldCharType="end"/>
        </w:r>
      </w:hyperlink>
    </w:p>
    <w:p w14:paraId="56959CE8" w14:textId="1E52918F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49" w:history="1">
        <w:r w:rsidR="00387D06" w:rsidRPr="00983A52">
          <w:rPr>
            <w:rStyle w:val="Hyperlink"/>
          </w:rPr>
          <w:t>Partnering across government to inform policy, service design and workforce development with leading practice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_Toc170996549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14</w:t>
        </w:r>
        <w:r w:rsidR="00387D06">
          <w:rPr>
            <w:webHidden/>
          </w:rPr>
          <w:fldChar w:fldCharType="end"/>
        </w:r>
      </w:hyperlink>
    </w:p>
    <w:p w14:paraId="44B15A28" w14:textId="7AF395A3" w:rsidR="00387D06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0996550" w:history="1">
        <w:r w:rsidR="00387D06" w:rsidRPr="00983A52">
          <w:rPr>
            <w:rStyle w:val="Hyperlink"/>
          </w:rPr>
          <w:t>Business as usual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_Toc170996550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15</w:t>
        </w:r>
        <w:r w:rsidR="00387D06">
          <w:rPr>
            <w:webHidden/>
          </w:rPr>
          <w:fldChar w:fldCharType="end"/>
        </w:r>
      </w:hyperlink>
    </w:p>
    <w:p w14:paraId="62DC7D42" w14:textId="0D21E7B2" w:rsidR="00387D06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996551" w:history="1">
        <w:r w:rsidR="00387D06" w:rsidRPr="00983A52">
          <w:rPr>
            <w:rStyle w:val="Hyperlink"/>
          </w:rPr>
          <w:t>Tracking our progress and impact</w:t>
        </w:r>
        <w:r w:rsidR="00387D06">
          <w:rPr>
            <w:webHidden/>
          </w:rPr>
          <w:tab/>
        </w:r>
        <w:r w:rsidR="00387D06">
          <w:rPr>
            <w:webHidden/>
          </w:rPr>
          <w:fldChar w:fldCharType="begin"/>
        </w:r>
        <w:r w:rsidR="00387D06">
          <w:rPr>
            <w:webHidden/>
          </w:rPr>
          <w:instrText xml:space="preserve"> PAGEREF _Toc170996551 \h </w:instrText>
        </w:r>
        <w:r w:rsidR="00387D06">
          <w:rPr>
            <w:webHidden/>
          </w:rPr>
        </w:r>
        <w:r w:rsidR="00387D06">
          <w:rPr>
            <w:webHidden/>
          </w:rPr>
          <w:fldChar w:fldCharType="separate"/>
        </w:r>
        <w:r w:rsidR="004F67EB">
          <w:rPr>
            <w:webHidden/>
          </w:rPr>
          <w:t>16</w:t>
        </w:r>
        <w:r w:rsidR="00387D06">
          <w:rPr>
            <w:webHidden/>
          </w:rPr>
          <w:fldChar w:fldCharType="end"/>
        </w:r>
      </w:hyperlink>
    </w:p>
    <w:p w14:paraId="4039B68C" w14:textId="3FBE26D1" w:rsidR="00066AA8" w:rsidRDefault="00AD784C" w:rsidP="00066AA8">
      <w:pPr>
        <w:pStyle w:val="Heading1"/>
      </w:pPr>
      <w:r w:rsidRPr="008102F5">
        <w:fldChar w:fldCharType="end"/>
      </w:r>
      <w:r w:rsidR="00FB1F6E" w:rsidRPr="008102F5">
        <w:br w:type="page"/>
      </w:r>
      <w:bookmarkStart w:id="1" w:name="_Toc136351640"/>
      <w:bookmarkStart w:id="2" w:name="_Toc136754364"/>
      <w:bookmarkStart w:id="3" w:name="_Toc169017921"/>
      <w:bookmarkStart w:id="4" w:name="_Toc170996531"/>
      <w:bookmarkStart w:id="5" w:name="OLE_LINK16"/>
      <w:bookmarkStart w:id="6" w:name="OLE_LINK17"/>
      <w:r w:rsidR="00066AA8" w:rsidRPr="00950004">
        <w:lastRenderedPageBreak/>
        <w:t>Message</w:t>
      </w:r>
      <w:r w:rsidR="00066AA8">
        <w:t xml:space="preserve"> from the </w:t>
      </w:r>
      <w:bookmarkEnd w:id="1"/>
      <w:bookmarkEnd w:id="2"/>
      <w:r w:rsidR="00066AA8">
        <w:t>Office of Professional Practice</w:t>
      </w:r>
      <w:bookmarkEnd w:id="3"/>
      <w:bookmarkEnd w:id="4"/>
    </w:p>
    <w:p w14:paraId="011CF77F" w14:textId="77777777" w:rsidR="00066AA8" w:rsidRPr="0041229B" w:rsidRDefault="00066AA8" w:rsidP="00066AA8">
      <w:pPr>
        <w:pStyle w:val="Body"/>
      </w:pPr>
      <w:r>
        <w:t>Our department works every day to help build</w:t>
      </w:r>
      <w:r w:rsidRPr="0041229B">
        <w:t xml:space="preserve"> a fairer and safer Victoria</w:t>
      </w:r>
      <w:r>
        <w:t>.</w:t>
      </w:r>
      <w:r w:rsidRPr="0041229B">
        <w:t xml:space="preserve"> </w:t>
      </w:r>
      <w:r>
        <w:t xml:space="preserve">We want </w:t>
      </w:r>
      <w:r w:rsidRPr="0041229B">
        <w:t xml:space="preserve">all </w:t>
      </w:r>
      <w:r>
        <w:t>Victorians</w:t>
      </w:r>
      <w:r w:rsidRPr="0041229B">
        <w:t xml:space="preserve"> </w:t>
      </w:r>
      <w:r>
        <w:t>to be</w:t>
      </w:r>
      <w:r w:rsidRPr="0041229B">
        <w:t xml:space="preserve"> safe and free from discrimination </w:t>
      </w:r>
      <w:r>
        <w:t>and</w:t>
      </w:r>
      <w:r w:rsidRPr="0041229B">
        <w:t xml:space="preserve"> violence</w:t>
      </w:r>
      <w:r>
        <w:t xml:space="preserve"> so they can </w:t>
      </w:r>
      <w:r w:rsidRPr="0041229B">
        <w:t>flourish.</w:t>
      </w:r>
    </w:p>
    <w:p w14:paraId="4F4F866C" w14:textId="7911FB08" w:rsidR="00066AA8" w:rsidRPr="0041229B" w:rsidRDefault="00066AA8" w:rsidP="00066AA8">
      <w:pPr>
        <w:pStyle w:val="Body"/>
      </w:pPr>
      <w:r w:rsidRPr="0041229B">
        <w:t xml:space="preserve">To </w:t>
      </w:r>
      <w:r>
        <w:t>achieve these aims, the department needs to</w:t>
      </w:r>
      <w:r w:rsidRPr="0041229B">
        <w:t xml:space="preserve"> work </w:t>
      </w:r>
      <w:r>
        <w:t>effectively</w:t>
      </w:r>
      <w:r w:rsidR="00AA2743">
        <w:t>. This means</w:t>
      </w:r>
      <w:r>
        <w:t xml:space="preserve"> putting</w:t>
      </w:r>
      <w:r w:rsidRPr="0041229B">
        <w:t xml:space="preserve"> </w:t>
      </w:r>
      <w:r>
        <w:t xml:space="preserve">clients and </w:t>
      </w:r>
      <w:r w:rsidRPr="0041229B">
        <w:t xml:space="preserve">communities </w:t>
      </w:r>
      <w:r>
        <w:t>at the centre of everything we do.</w:t>
      </w:r>
    </w:p>
    <w:p w14:paraId="2825D3F9" w14:textId="49F9DAA5" w:rsidR="00CA720A" w:rsidRDefault="00066AA8" w:rsidP="00066AA8">
      <w:pPr>
        <w:pStyle w:val="Body"/>
      </w:pPr>
      <w:r w:rsidRPr="0041229B">
        <w:t>The O</w:t>
      </w:r>
      <w:r>
        <w:t>ffice of Professional Practice (O</w:t>
      </w:r>
      <w:r w:rsidRPr="0041229B">
        <w:t>PP</w:t>
      </w:r>
      <w:r>
        <w:t>)</w:t>
      </w:r>
      <w:r w:rsidRPr="0041229B">
        <w:t xml:space="preserve"> </w:t>
      </w:r>
      <w:r>
        <w:t>helps the</w:t>
      </w:r>
      <w:r w:rsidRPr="0041229B">
        <w:t xml:space="preserve"> department</w:t>
      </w:r>
      <w:r>
        <w:t xml:space="preserve"> do this.</w:t>
      </w:r>
      <w:r w:rsidRPr="0041229B">
        <w:t xml:space="preserve"> </w:t>
      </w:r>
      <w:r>
        <w:t xml:space="preserve">We guide practice in </w:t>
      </w:r>
      <w:r w:rsidR="00AA2743">
        <w:t xml:space="preserve">keeping </w:t>
      </w:r>
      <w:r>
        <w:t>with</w:t>
      </w:r>
      <w:r w:rsidR="00CA720A">
        <w:t>:</w:t>
      </w:r>
      <w:r>
        <w:t xml:space="preserve"> </w:t>
      </w:r>
    </w:p>
    <w:p w14:paraId="7D1AACF7" w14:textId="78F8D620" w:rsidR="00CA720A" w:rsidRDefault="00066AA8" w:rsidP="00CA720A">
      <w:pPr>
        <w:pStyle w:val="Bullet1"/>
      </w:pPr>
      <w:r w:rsidRPr="0041229B">
        <w:t>contemporary</w:t>
      </w:r>
      <w:r w:rsidR="00CA720A">
        <w:t>,</w:t>
      </w:r>
      <w:r w:rsidRPr="0041229B">
        <w:t xml:space="preserve"> evidence</w:t>
      </w:r>
      <w:r w:rsidR="00CA720A">
        <w:t>-based</w:t>
      </w:r>
      <w:r w:rsidRPr="0041229B">
        <w:t xml:space="preserve"> practice frameworks and tools</w:t>
      </w:r>
    </w:p>
    <w:p w14:paraId="28A47A77" w14:textId="7C44297A" w:rsidR="00CA720A" w:rsidRDefault="00066AA8" w:rsidP="00CA720A">
      <w:pPr>
        <w:pStyle w:val="Bullet1"/>
      </w:pPr>
      <w:r w:rsidRPr="0041229B">
        <w:t>practice wisdom</w:t>
      </w:r>
    </w:p>
    <w:p w14:paraId="38E4BB6C" w14:textId="6DB73621" w:rsidR="00066AA8" w:rsidRPr="0041229B" w:rsidRDefault="00066AA8" w:rsidP="001B6249">
      <w:pPr>
        <w:pStyle w:val="Bullet1"/>
      </w:pPr>
      <w:r w:rsidRPr="0041229B">
        <w:t>operational service delivery.</w:t>
      </w:r>
    </w:p>
    <w:p w14:paraId="39F6E98A" w14:textId="7332EF2D" w:rsidR="00066AA8" w:rsidRPr="0041229B" w:rsidRDefault="00066AA8" w:rsidP="0060173D">
      <w:pPr>
        <w:pStyle w:val="Bodyafterbullets"/>
      </w:pPr>
      <w:r>
        <w:t>We do this to encourage practice</w:t>
      </w:r>
      <w:r w:rsidRPr="0041229B">
        <w:t xml:space="preserve"> transparen</w:t>
      </w:r>
      <w:r>
        <w:t>cy</w:t>
      </w:r>
      <w:r w:rsidR="00143E8D">
        <w:t>. This</w:t>
      </w:r>
      <w:r>
        <w:t xml:space="preserve"> </w:t>
      </w:r>
      <w:r w:rsidR="006E71FD">
        <w:t xml:space="preserve">allows </w:t>
      </w:r>
      <w:r>
        <w:t xml:space="preserve">a focus on </w:t>
      </w:r>
      <w:r w:rsidRPr="0041229B">
        <w:t>continuous improvement</w:t>
      </w:r>
      <w:r>
        <w:t xml:space="preserve"> by </w:t>
      </w:r>
      <w:r w:rsidRPr="0041229B">
        <w:t>learn</w:t>
      </w:r>
      <w:r>
        <w:t>ing</w:t>
      </w:r>
      <w:r w:rsidRPr="0041229B">
        <w:t xml:space="preserve"> from </w:t>
      </w:r>
      <w:r>
        <w:t>our mistakes</w:t>
      </w:r>
      <w:r w:rsidRPr="0041229B">
        <w:t xml:space="preserve"> and </w:t>
      </w:r>
      <w:r>
        <w:t>our</w:t>
      </w:r>
      <w:r w:rsidRPr="0041229B">
        <w:t xml:space="preserve"> success</w:t>
      </w:r>
      <w:r>
        <w:t xml:space="preserve">es. We need to support </w:t>
      </w:r>
      <w:r w:rsidRPr="0041229B">
        <w:t xml:space="preserve">our frontline workforces </w:t>
      </w:r>
      <w:r>
        <w:t xml:space="preserve">to </w:t>
      </w:r>
      <w:r w:rsidRPr="0041229B">
        <w:t>do their best work</w:t>
      </w:r>
      <w:r>
        <w:t>.</w:t>
      </w:r>
      <w:r w:rsidRPr="0041229B">
        <w:t xml:space="preserve"> </w:t>
      </w:r>
      <w:r>
        <w:t>We seek out and incorporate feedback to ensure</w:t>
      </w:r>
      <w:r w:rsidRPr="0041229B">
        <w:t xml:space="preserve"> the </w:t>
      </w:r>
      <w:r>
        <w:t>people</w:t>
      </w:r>
      <w:r w:rsidRPr="0041229B">
        <w:t xml:space="preserve"> we support </w:t>
      </w:r>
      <w:r>
        <w:t>can engage with us</w:t>
      </w:r>
      <w:r w:rsidRPr="0041229B">
        <w:t>.</w:t>
      </w:r>
    </w:p>
    <w:p w14:paraId="506A1BAA" w14:textId="5734A737" w:rsidR="00066AA8" w:rsidRDefault="00066AA8" w:rsidP="00066AA8">
      <w:pPr>
        <w:pStyle w:val="Body"/>
      </w:pPr>
      <w:r>
        <w:t>This strategic plan sets out the</w:t>
      </w:r>
      <w:r w:rsidRPr="0041229B">
        <w:t xml:space="preserve"> step</w:t>
      </w:r>
      <w:r>
        <w:t>s th</w:t>
      </w:r>
      <w:r w:rsidR="00143E8D">
        <w:t>e</w:t>
      </w:r>
      <w:r>
        <w:t xml:space="preserve"> OPP will take</w:t>
      </w:r>
      <w:r w:rsidRPr="0041229B">
        <w:t xml:space="preserve"> </w:t>
      </w:r>
      <w:r>
        <w:t>to further</w:t>
      </w:r>
      <w:r w:rsidRPr="0041229B">
        <w:t xml:space="preserve"> the department’s focus areas and uphold its values. </w:t>
      </w:r>
    </w:p>
    <w:p w14:paraId="11B41C02" w14:textId="6739AE06" w:rsidR="00066AA8" w:rsidRPr="0041229B" w:rsidRDefault="00066AA8" w:rsidP="00066AA8">
      <w:pPr>
        <w:pStyle w:val="Body"/>
      </w:pPr>
      <w:r>
        <w:t>We used</w:t>
      </w:r>
      <w:r w:rsidRPr="0041229B">
        <w:t xml:space="preserve"> the experience and wisdom of our staff</w:t>
      </w:r>
      <w:r>
        <w:t xml:space="preserve"> to develop the plan</w:t>
      </w:r>
      <w:r w:rsidR="00143E8D">
        <w:t>. We</w:t>
      </w:r>
      <w:r>
        <w:t xml:space="preserve"> </w:t>
      </w:r>
      <w:r w:rsidR="00143E8D">
        <w:t xml:space="preserve">asked </w:t>
      </w:r>
      <w:r>
        <w:t>our</w:t>
      </w:r>
      <w:r w:rsidRPr="0041229B">
        <w:t xml:space="preserve"> </w:t>
      </w:r>
      <w:r w:rsidR="00143E8D">
        <w:t xml:space="preserve">departmental </w:t>
      </w:r>
      <w:r w:rsidRPr="0041229B">
        <w:t xml:space="preserve">colleagues </w:t>
      </w:r>
      <w:r w:rsidR="00143E8D">
        <w:t xml:space="preserve">and </w:t>
      </w:r>
      <w:r w:rsidRPr="0041229B">
        <w:t xml:space="preserve">external stakeholders what </w:t>
      </w:r>
      <w:r>
        <w:t>they</w:t>
      </w:r>
      <w:r w:rsidRPr="0041229B">
        <w:t xml:space="preserve"> need</w:t>
      </w:r>
      <w:r>
        <w:t xml:space="preserve"> from us</w:t>
      </w:r>
      <w:r w:rsidRPr="0041229B">
        <w:t xml:space="preserve">. </w:t>
      </w:r>
    </w:p>
    <w:p w14:paraId="45A324A2" w14:textId="77777777" w:rsidR="00066AA8" w:rsidRPr="0041229B" w:rsidRDefault="00066AA8" w:rsidP="00066AA8">
      <w:pPr>
        <w:pStyle w:val="Body"/>
      </w:pPr>
      <w:r>
        <w:t xml:space="preserve">This plan takes place at a time of major sector </w:t>
      </w:r>
      <w:r w:rsidRPr="0041229B">
        <w:t>reform</w:t>
      </w:r>
      <w:r>
        <w:t>.</w:t>
      </w:r>
      <w:r w:rsidRPr="0041229B">
        <w:t xml:space="preserve"> </w:t>
      </w:r>
      <w:r>
        <w:t>The communities we work with are under pressure</w:t>
      </w:r>
      <w:r w:rsidRPr="0041229B">
        <w:t xml:space="preserve">. </w:t>
      </w:r>
      <w:r>
        <w:t xml:space="preserve">To be effective, we will need to listen, </w:t>
      </w:r>
      <w:r w:rsidRPr="0041229B">
        <w:t xml:space="preserve">review and adjust </w:t>
      </w:r>
      <w:r>
        <w:t>the</w:t>
      </w:r>
      <w:r w:rsidRPr="0041229B">
        <w:t xml:space="preserve"> plan </w:t>
      </w:r>
      <w:r>
        <w:t>as things change</w:t>
      </w:r>
      <w:r w:rsidRPr="0041229B">
        <w:t>.</w:t>
      </w:r>
    </w:p>
    <w:p w14:paraId="2A5DC6D2" w14:textId="77777777" w:rsidR="0098135A" w:rsidRDefault="00066AA8" w:rsidP="00066AA8">
      <w:pPr>
        <w:pStyle w:val="Body"/>
      </w:pPr>
      <w:r w:rsidRPr="0041229B">
        <w:t xml:space="preserve">It is a privilege to do </w:t>
      </w:r>
      <w:r>
        <w:t>our</w:t>
      </w:r>
      <w:r w:rsidRPr="0041229B">
        <w:t xml:space="preserve"> work</w:t>
      </w:r>
      <w:r>
        <w:t xml:space="preserve"> in partnership with</w:t>
      </w:r>
      <w:r w:rsidR="0098135A">
        <w:t>:</w:t>
      </w:r>
      <w:r>
        <w:t xml:space="preserve"> </w:t>
      </w:r>
    </w:p>
    <w:p w14:paraId="27131BD0" w14:textId="55C3023A" w:rsidR="0098135A" w:rsidRDefault="00066AA8" w:rsidP="0098135A">
      <w:pPr>
        <w:pStyle w:val="Bullet1"/>
      </w:pPr>
      <w:r>
        <w:t>Community Operations and Practice Leadership colleagues</w:t>
      </w:r>
    </w:p>
    <w:p w14:paraId="67AD634A" w14:textId="6BB8AEB4" w:rsidR="0098135A" w:rsidRDefault="00066AA8" w:rsidP="00D60932">
      <w:pPr>
        <w:pStyle w:val="Bullet1"/>
      </w:pPr>
      <w:r>
        <w:t>departmental stakeholders</w:t>
      </w:r>
      <w:r w:rsidRPr="0041229B">
        <w:t xml:space="preserve">. </w:t>
      </w:r>
    </w:p>
    <w:p w14:paraId="5D1785DC" w14:textId="3539406A" w:rsidR="00E5330D" w:rsidRDefault="00066AA8" w:rsidP="0098135A">
      <w:pPr>
        <w:pStyle w:val="Bodyafterbullets"/>
      </w:pPr>
      <w:r>
        <w:t>W</w:t>
      </w:r>
      <w:r w:rsidRPr="0041229B">
        <w:t xml:space="preserve">e will be true to our guiding principles of integrity, collaboration and leadership. We will promote a just and learning culture. </w:t>
      </w:r>
    </w:p>
    <w:p w14:paraId="1EC145A0" w14:textId="2CFF66CD" w:rsidR="00066AA8" w:rsidRDefault="00066AA8" w:rsidP="00D60932">
      <w:pPr>
        <w:pStyle w:val="Bodyafterbullets"/>
      </w:pPr>
      <w:r w:rsidRPr="0041229B">
        <w:t>We will keep listening and learning. We will keep sharing and celebrating</w:t>
      </w:r>
      <w:r>
        <w:t xml:space="preserve">. </w:t>
      </w:r>
    </w:p>
    <w:p w14:paraId="1830402E" w14:textId="77777777" w:rsidR="000D080F" w:rsidRDefault="00066AA8" w:rsidP="00066AA8">
      <w:pPr>
        <w:pStyle w:val="Body"/>
      </w:pPr>
      <w:r>
        <w:t>We will continue to support and enable the department</w:t>
      </w:r>
      <w:r w:rsidRPr="0041229B">
        <w:t xml:space="preserve"> to do the best work </w:t>
      </w:r>
      <w:r>
        <w:t>it</w:t>
      </w:r>
      <w:r w:rsidRPr="0041229B">
        <w:t xml:space="preserve"> can. </w:t>
      </w:r>
    </w:p>
    <w:p w14:paraId="3E6654AD" w14:textId="77777777" w:rsidR="000D080F" w:rsidRDefault="00066AA8" w:rsidP="00066AA8">
      <w:pPr>
        <w:pStyle w:val="Body"/>
      </w:pPr>
      <w:r w:rsidRPr="0041229B">
        <w:t xml:space="preserve">Together. </w:t>
      </w:r>
    </w:p>
    <w:p w14:paraId="7798DEBE" w14:textId="1E1C4A97" w:rsidR="00066AA8" w:rsidRPr="0041229B" w:rsidRDefault="00066AA8" w:rsidP="00066AA8">
      <w:pPr>
        <w:pStyle w:val="Body"/>
      </w:pPr>
      <w:r w:rsidRPr="0041229B">
        <w:t>Always.</w:t>
      </w:r>
    </w:p>
    <w:p w14:paraId="3EA61423" w14:textId="77777777" w:rsidR="00066AA8" w:rsidRDefault="00066AA8" w:rsidP="00482537">
      <w:pPr>
        <w:pStyle w:val="Body"/>
      </w:pPr>
      <w:r>
        <w:br w:type="page"/>
      </w:r>
    </w:p>
    <w:p w14:paraId="045F58F6" w14:textId="77777777" w:rsidR="00066AA8" w:rsidRPr="00B8155F" w:rsidRDefault="00066AA8" w:rsidP="00066AA8">
      <w:pPr>
        <w:pStyle w:val="Heading1"/>
      </w:pPr>
      <w:bookmarkStart w:id="7" w:name="_Toc169017922"/>
      <w:bookmarkStart w:id="8" w:name="_Toc170996532"/>
      <w:r>
        <w:lastRenderedPageBreak/>
        <w:t>Our strategic plan</w:t>
      </w:r>
      <w:bookmarkEnd w:id="7"/>
      <w:bookmarkEnd w:id="8"/>
    </w:p>
    <w:p w14:paraId="58E48B77" w14:textId="77777777" w:rsidR="00066AA8" w:rsidRDefault="00066AA8" w:rsidP="00066AA8">
      <w:pPr>
        <w:pStyle w:val="Heading2"/>
      </w:pPr>
      <w:bookmarkStart w:id="9" w:name="_Toc169017923"/>
      <w:bookmarkStart w:id="10" w:name="_Toc170996533"/>
      <w:r>
        <w:t>Our vision</w:t>
      </w:r>
      <w:bookmarkEnd w:id="9"/>
      <w:bookmarkEnd w:id="10"/>
    </w:p>
    <w:p w14:paraId="52C7339D" w14:textId="77777777" w:rsidR="00066AA8" w:rsidRPr="00FD3830" w:rsidRDefault="00066AA8" w:rsidP="00FD3830">
      <w:pPr>
        <w:pStyle w:val="Body"/>
      </w:pPr>
      <w:r>
        <w:t>The</w:t>
      </w:r>
      <w:r w:rsidRPr="0099174C">
        <w:t xml:space="preserve"> </w:t>
      </w:r>
      <w:r w:rsidRPr="00FD3830">
        <w:t>children, adults, families and communities we work with live their best lives.</w:t>
      </w:r>
    </w:p>
    <w:p w14:paraId="3F13F0A4" w14:textId="77777777" w:rsidR="00066AA8" w:rsidRPr="00FD3830" w:rsidRDefault="00066AA8" w:rsidP="00FD3830">
      <w:pPr>
        <w:pStyle w:val="Body"/>
      </w:pPr>
      <w:r w:rsidRPr="00FD3830">
        <w:t>We respect their rights.</w:t>
      </w:r>
    </w:p>
    <w:p w14:paraId="7B039EEA" w14:textId="77777777" w:rsidR="00066AA8" w:rsidRDefault="00066AA8" w:rsidP="00FD3830">
      <w:pPr>
        <w:pStyle w:val="Body"/>
      </w:pPr>
      <w:r w:rsidRPr="00FD3830">
        <w:t>Our frontline workforces</w:t>
      </w:r>
      <w:r w:rsidRPr="0099174C">
        <w:t xml:space="preserve"> are capable</w:t>
      </w:r>
      <w:r>
        <w:t xml:space="preserve"> and </w:t>
      </w:r>
      <w:r w:rsidRPr="0099174C">
        <w:t>confident</w:t>
      </w:r>
      <w:r>
        <w:t>, and we support their wellbeing</w:t>
      </w:r>
      <w:r w:rsidDel="007F06EE">
        <w:t>.</w:t>
      </w:r>
    </w:p>
    <w:p w14:paraId="3E386AD9" w14:textId="77777777" w:rsidR="00066AA8" w:rsidRDefault="00066AA8" w:rsidP="00066AA8">
      <w:pPr>
        <w:pStyle w:val="Heading2"/>
      </w:pPr>
      <w:bookmarkStart w:id="11" w:name="_Toc169017924"/>
      <w:bookmarkStart w:id="12" w:name="_Toc170996534"/>
      <w:r>
        <w:t>Our mission</w:t>
      </w:r>
      <w:bookmarkEnd w:id="11"/>
      <w:bookmarkEnd w:id="12"/>
    </w:p>
    <w:p w14:paraId="3F9F1F99" w14:textId="17375FB4" w:rsidR="00066AA8" w:rsidRDefault="00E5330D" w:rsidP="00FD3830">
      <w:pPr>
        <w:pStyle w:val="Body"/>
      </w:pPr>
      <w:r>
        <w:t xml:space="preserve">The </w:t>
      </w:r>
      <w:r w:rsidR="00066AA8">
        <w:t>OPP works to</w:t>
      </w:r>
      <w:r w:rsidR="00066AA8" w:rsidRPr="0099174C">
        <w:t xml:space="preserve"> guide and influence a consistent statewide approach to human services practice</w:t>
      </w:r>
      <w:r w:rsidR="00FD3830">
        <w:t xml:space="preserve"> </w:t>
      </w:r>
      <w:r w:rsidR="00066AA8">
        <w:t>that upholds the</w:t>
      </w:r>
      <w:r w:rsidR="00066AA8" w:rsidRPr="0099174C">
        <w:t xml:space="preserve"> safeguards and rights of vulnerable Victorians</w:t>
      </w:r>
      <w:r w:rsidR="00066AA8">
        <w:t xml:space="preserve"> and</w:t>
      </w:r>
      <w:r w:rsidR="00FD3830">
        <w:t xml:space="preserve"> </w:t>
      </w:r>
      <w:r w:rsidR="00066AA8">
        <w:t>is informed by</w:t>
      </w:r>
      <w:r w:rsidR="00066AA8" w:rsidRPr="0099174C">
        <w:t xml:space="preserve"> contemporary evidence and leading practice.</w:t>
      </w:r>
    </w:p>
    <w:p w14:paraId="55562475" w14:textId="77777777" w:rsidR="00066AA8" w:rsidRDefault="00066AA8" w:rsidP="00066AA8">
      <w:pPr>
        <w:pStyle w:val="Heading2"/>
      </w:pPr>
      <w:bookmarkStart w:id="13" w:name="_Toc169017925"/>
      <w:bookmarkStart w:id="14" w:name="_Toc170996535"/>
      <w:r>
        <w:t>Our guiding principles</w:t>
      </w:r>
      <w:bookmarkEnd w:id="13"/>
      <w:bookmarkEnd w:id="14"/>
    </w:p>
    <w:p w14:paraId="64C180FB" w14:textId="5D948C75" w:rsidR="00066AA8" w:rsidRDefault="00066AA8" w:rsidP="00FD3830">
      <w:pPr>
        <w:pStyle w:val="Body"/>
      </w:pPr>
      <w:r>
        <w:t xml:space="preserve">Our guiding principles </w:t>
      </w:r>
      <w:r w:rsidRPr="00A95E95">
        <w:t>complement</w:t>
      </w:r>
      <w:r>
        <w:t xml:space="preserve"> the department’s values</w:t>
      </w:r>
      <w:r w:rsidR="00DE333A">
        <w:t>.</w:t>
      </w:r>
    </w:p>
    <w:p w14:paraId="6E7E0D46" w14:textId="155FA6A2" w:rsidR="00066AA8" w:rsidRPr="00191B46" w:rsidRDefault="00066AA8" w:rsidP="00FD3830">
      <w:pPr>
        <w:pStyle w:val="Body"/>
      </w:pPr>
      <w:r>
        <w:t xml:space="preserve">In delivering to this </w:t>
      </w:r>
      <w:r w:rsidR="00DE333A">
        <w:t>p</w:t>
      </w:r>
      <w:r>
        <w:t>lan, we commit to</w:t>
      </w:r>
      <w:r w:rsidR="004548D2" w:rsidRPr="004548D2">
        <w:rPr>
          <w:b/>
          <w:bCs/>
          <w:szCs w:val="21"/>
        </w:rPr>
        <w:t xml:space="preserve"> </w:t>
      </w:r>
      <w:r w:rsidR="004548D2">
        <w:rPr>
          <w:b/>
          <w:bCs/>
          <w:szCs w:val="21"/>
        </w:rPr>
        <w:t>self-determination and cultural safety</w:t>
      </w:r>
      <w:r w:rsidR="00537DB7">
        <w:t>.</w:t>
      </w:r>
      <w:r w:rsidR="004548D2">
        <w:t xml:space="preserve"> </w:t>
      </w:r>
      <w:r w:rsidR="00537DB7">
        <w:t>This</w:t>
      </w:r>
      <w:r w:rsidR="004548D2">
        <w:t xml:space="preserve"> includes:</w:t>
      </w:r>
    </w:p>
    <w:tbl>
      <w:tblPr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52"/>
        <w:gridCol w:w="2953"/>
        <w:gridCol w:w="2950"/>
      </w:tblGrid>
      <w:tr w:rsidR="00066AA8" w:rsidRPr="00294626" w14:paraId="4C986BC9" w14:textId="77777777" w:rsidTr="00731299">
        <w:tc>
          <w:tcPr>
            <w:tcW w:w="2952" w:type="dxa"/>
            <w:shd w:val="clear" w:color="auto" w:fill="D9D9D9" w:themeFill="background1" w:themeFillShade="D9"/>
          </w:tcPr>
          <w:p w14:paraId="1D1DAAE3" w14:textId="77777777" w:rsidR="00066AA8" w:rsidRPr="004F5E11" w:rsidRDefault="00066AA8">
            <w:pPr>
              <w:jc w:val="center"/>
              <w:rPr>
                <w:b/>
                <w:bCs/>
                <w:szCs w:val="21"/>
              </w:rPr>
            </w:pPr>
            <w:r w:rsidRPr="004F5E11">
              <w:rPr>
                <w:b/>
                <w:bCs/>
                <w:szCs w:val="21"/>
              </w:rPr>
              <w:t>Integrity</w:t>
            </w:r>
          </w:p>
          <w:p w14:paraId="16318B07" w14:textId="05E1AB5B" w:rsidR="00066AA8" w:rsidRPr="004F5E11" w:rsidRDefault="00066AA8">
            <w:pPr>
              <w:jc w:val="center"/>
              <w:rPr>
                <w:szCs w:val="21"/>
              </w:rPr>
            </w:pPr>
            <w:r w:rsidRPr="004F5E11">
              <w:rPr>
                <w:szCs w:val="21"/>
              </w:rPr>
              <w:t>We are ethical, rigorous, evidence-informed, client-focused, effective and accountable.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5AF46BD" w14:textId="77777777" w:rsidR="00066AA8" w:rsidRPr="004F5E11" w:rsidRDefault="00066AA8">
            <w:pPr>
              <w:jc w:val="center"/>
              <w:rPr>
                <w:b/>
                <w:bCs/>
                <w:szCs w:val="21"/>
              </w:rPr>
            </w:pPr>
            <w:r w:rsidRPr="004F5E11">
              <w:rPr>
                <w:b/>
                <w:bCs/>
                <w:szCs w:val="21"/>
              </w:rPr>
              <w:t>Collaboration</w:t>
            </w:r>
          </w:p>
          <w:p w14:paraId="3039872B" w14:textId="3D776AD2" w:rsidR="00066AA8" w:rsidRPr="004F5E11" w:rsidRDefault="00066AA8">
            <w:pPr>
              <w:jc w:val="center"/>
              <w:rPr>
                <w:szCs w:val="21"/>
              </w:rPr>
            </w:pPr>
            <w:r w:rsidRPr="004F5E11">
              <w:rPr>
                <w:szCs w:val="21"/>
              </w:rPr>
              <w:t>We are collegiate, focused on collaborative problem</w:t>
            </w:r>
            <w:r w:rsidR="00AC5C92">
              <w:rPr>
                <w:szCs w:val="21"/>
              </w:rPr>
              <w:t xml:space="preserve"> </w:t>
            </w:r>
            <w:r w:rsidRPr="004F5E11">
              <w:rPr>
                <w:szCs w:val="21"/>
              </w:rPr>
              <w:t>solving and continuous learning.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2A03538A" w14:textId="77777777" w:rsidR="00066AA8" w:rsidRPr="004F5E11" w:rsidRDefault="00066AA8">
            <w:pPr>
              <w:jc w:val="center"/>
              <w:rPr>
                <w:b/>
                <w:bCs/>
                <w:szCs w:val="21"/>
              </w:rPr>
            </w:pPr>
            <w:r w:rsidRPr="004F5E11">
              <w:rPr>
                <w:b/>
                <w:bCs/>
                <w:szCs w:val="21"/>
              </w:rPr>
              <w:t>Leadership</w:t>
            </w:r>
          </w:p>
          <w:p w14:paraId="5CA8A395" w14:textId="77777777" w:rsidR="00066AA8" w:rsidRPr="004F5E11" w:rsidRDefault="00066AA8">
            <w:pPr>
              <w:jc w:val="center"/>
              <w:rPr>
                <w:szCs w:val="21"/>
              </w:rPr>
            </w:pPr>
            <w:r w:rsidRPr="004F5E11">
              <w:rPr>
                <w:szCs w:val="21"/>
              </w:rPr>
              <w:t>We are aspirational in our vision</w:t>
            </w:r>
            <w:r>
              <w:rPr>
                <w:szCs w:val="21"/>
              </w:rPr>
              <w:t xml:space="preserve"> for practice. We are </w:t>
            </w:r>
            <w:r w:rsidRPr="004F5E11">
              <w:rPr>
                <w:szCs w:val="21"/>
              </w:rPr>
              <w:t>strategic,</w:t>
            </w:r>
            <w:r>
              <w:rPr>
                <w:szCs w:val="21"/>
              </w:rPr>
              <w:t xml:space="preserve"> </w:t>
            </w:r>
            <w:r w:rsidRPr="004F5E11">
              <w:rPr>
                <w:szCs w:val="21"/>
              </w:rPr>
              <w:t>courageous and dedicated</w:t>
            </w:r>
            <w:r>
              <w:rPr>
                <w:szCs w:val="21"/>
              </w:rPr>
              <w:t xml:space="preserve"> to safety and wellbeing.</w:t>
            </w:r>
          </w:p>
        </w:tc>
      </w:tr>
    </w:tbl>
    <w:p w14:paraId="5C168FA4" w14:textId="77777777" w:rsidR="00066AA8" w:rsidRDefault="00066AA8" w:rsidP="00066AA8">
      <w:pPr>
        <w:pStyle w:val="Heading2"/>
      </w:pPr>
      <w:bookmarkStart w:id="15" w:name="_Toc169017926"/>
      <w:bookmarkStart w:id="16" w:name="_Toc170996536"/>
      <w:r w:rsidRPr="00F5205A">
        <w:t>Our people</w:t>
      </w:r>
      <w:bookmarkEnd w:id="15"/>
      <w:bookmarkEnd w:id="16"/>
    </w:p>
    <w:p w14:paraId="2F8B13BF" w14:textId="51126700" w:rsidR="00066AA8" w:rsidRDefault="00066AA8" w:rsidP="00066AA8">
      <w:pPr>
        <w:pStyle w:val="Body"/>
      </w:pPr>
      <w:r w:rsidRPr="00950004">
        <w:t xml:space="preserve">The OPP is a team of human services specialists </w:t>
      </w:r>
      <w:r>
        <w:t>from</w:t>
      </w:r>
      <w:r w:rsidRPr="00950004">
        <w:t xml:space="preserve"> </w:t>
      </w:r>
      <w:r w:rsidR="00AC5C92">
        <w:t>varied</w:t>
      </w:r>
      <w:r w:rsidR="00AA2743" w:rsidRPr="00950004">
        <w:t xml:space="preserve"> </w:t>
      </w:r>
      <w:r w:rsidRPr="00950004">
        <w:t>disciplines</w:t>
      </w:r>
      <w:r w:rsidR="00A41345">
        <w:t>, as well as support staff</w:t>
      </w:r>
      <w:r w:rsidRPr="00950004">
        <w:t>. We are</w:t>
      </w:r>
      <w:r w:rsidRPr="00950004" w:rsidDel="004A6C77">
        <w:t xml:space="preserve"> </w:t>
      </w:r>
      <w:r>
        <w:t xml:space="preserve">a branch </w:t>
      </w:r>
      <w:r w:rsidRPr="00950004">
        <w:t>of the</w:t>
      </w:r>
      <w:r>
        <w:t xml:space="preserve"> department’s</w:t>
      </w:r>
      <w:r w:rsidRPr="00950004">
        <w:t xml:space="preserve"> Community Operations and Practice Leadership division</w:t>
      </w:r>
      <w:r w:rsidR="00AC5C92">
        <w:t>. This</w:t>
      </w:r>
      <w:r>
        <w:t xml:space="preserve"> </w:t>
      </w:r>
      <w:r w:rsidR="00AC5C92">
        <w:t xml:space="preserve">helps us </w:t>
      </w:r>
      <w:r>
        <w:t>add value to service delivery and client outcomes</w:t>
      </w:r>
      <w:r w:rsidRPr="00950004">
        <w:t>.</w:t>
      </w:r>
      <w:r>
        <w:t xml:space="preserve"> To provide the best support, we must invest in and build capability within the OPP.</w:t>
      </w:r>
    </w:p>
    <w:p w14:paraId="05815717" w14:textId="41A9AB41" w:rsidR="00066AA8" w:rsidRDefault="00066AA8" w:rsidP="00066AA8">
      <w:pPr>
        <w:pStyle w:val="Body"/>
      </w:pPr>
      <w:r>
        <w:t>We commit to:</w:t>
      </w:r>
    </w:p>
    <w:p w14:paraId="4DF6B285" w14:textId="77777777" w:rsidR="00066AA8" w:rsidRDefault="00066AA8" w:rsidP="00066AA8">
      <w:pPr>
        <w:pStyle w:val="Bullet1"/>
      </w:pPr>
      <w:r>
        <w:t>supporting our people to thrive at work</w:t>
      </w:r>
    </w:p>
    <w:p w14:paraId="0C2B75C1" w14:textId="77777777" w:rsidR="00066AA8" w:rsidRDefault="00066AA8" w:rsidP="00066AA8">
      <w:pPr>
        <w:pStyle w:val="Bullet1"/>
      </w:pPr>
      <w:r>
        <w:t>delivering professional development and career opportunities to our staff</w:t>
      </w:r>
    </w:p>
    <w:p w14:paraId="7A5133FE" w14:textId="0CD0080B" w:rsidR="00066AA8" w:rsidRDefault="00066AA8" w:rsidP="00066AA8">
      <w:pPr>
        <w:pStyle w:val="Bullet1"/>
      </w:pPr>
      <w:r>
        <w:t>developing greater connection across the branch</w:t>
      </w:r>
    </w:p>
    <w:p w14:paraId="18449109" w14:textId="2C3FC259" w:rsidR="00066AA8" w:rsidRDefault="00066AA8" w:rsidP="00066AA8">
      <w:pPr>
        <w:pStyle w:val="Bullet1"/>
      </w:pPr>
      <w:r>
        <w:t>supporting and enabling our Senior Leadership Group</w:t>
      </w:r>
    </w:p>
    <w:p w14:paraId="197CC031" w14:textId="634E1F2F" w:rsidR="00066AA8" w:rsidRPr="00AF6300" w:rsidRDefault="00066AA8" w:rsidP="00066AA8">
      <w:pPr>
        <w:pStyle w:val="Bullet1"/>
      </w:pPr>
      <w:r>
        <w:t>leading this strategic plan through our OPP Executive Group.</w:t>
      </w:r>
    </w:p>
    <w:p w14:paraId="5A46A19F" w14:textId="77777777" w:rsidR="00FD3830" w:rsidRDefault="00FD3830" w:rsidP="00482537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bookmarkStart w:id="17" w:name="_Toc169017927"/>
      <w:r>
        <w:br w:type="page"/>
      </w:r>
    </w:p>
    <w:p w14:paraId="61E5DAEF" w14:textId="3710BEC6" w:rsidR="00066AA8" w:rsidRPr="00E41C7D" w:rsidRDefault="004548D2" w:rsidP="00066AA8">
      <w:pPr>
        <w:pStyle w:val="Heading1"/>
      </w:pPr>
      <w:bookmarkStart w:id="18" w:name="_Toc170996537"/>
      <w:r>
        <w:lastRenderedPageBreak/>
        <w:t>R</w:t>
      </w:r>
      <w:r w:rsidR="00066AA8">
        <w:t>ole</w:t>
      </w:r>
      <w:bookmarkEnd w:id="17"/>
      <w:r>
        <w:t xml:space="preserve"> of the </w:t>
      </w:r>
      <w:r w:rsidRPr="00AC515E">
        <w:t>Office of Professional Practice</w:t>
      </w:r>
      <w:bookmarkEnd w:id="18"/>
    </w:p>
    <w:p w14:paraId="4A0CF96F" w14:textId="77777777" w:rsidR="00066AA8" w:rsidRDefault="00066AA8" w:rsidP="00066AA8">
      <w:pPr>
        <w:pStyle w:val="Body"/>
      </w:pPr>
      <w:r w:rsidRPr="004A6C77">
        <w:t>The</w:t>
      </w:r>
      <w:r>
        <w:t xml:space="preserve"> OPP exists as a branch to lead, build and promote the department’s commitment to practice expertise:</w:t>
      </w:r>
    </w:p>
    <w:p w14:paraId="6ECA05C4" w14:textId="0BBE51FC" w:rsidR="00066AA8" w:rsidRPr="008102F5" w:rsidRDefault="00066AA8" w:rsidP="008102F5">
      <w:pPr>
        <w:pStyle w:val="Quotetext"/>
        <w:rPr>
          <w:rStyle w:val="normaltextrun"/>
        </w:rPr>
      </w:pPr>
      <w:r w:rsidRPr="008102F5">
        <w:rPr>
          <w:rStyle w:val="normaltextrun"/>
        </w:rPr>
        <w:t>Practice expertise is at the heart of what we do: it is about how we work with people and, importantly, working in ways that support the safety and wellbeing of the</w:t>
      </w:r>
      <w:r w:rsidR="003064AF">
        <w:rPr>
          <w:rStyle w:val="normaltextrun"/>
        </w:rPr>
        <w:t xml:space="preserve"> </w:t>
      </w:r>
      <w:r w:rsidRPr="008102F5">
        <w:rPr>
          <w:rStyle w:val="normaltextrun"/>
        </w:rPr>
        <w:t>people who use the department’s services</w:t>
      </w:r>
      <w:r w:rsidR="00FA7DA6">
        <w:rPr>
          <w:rStyle w:val="normaltextrun"/>
        </w:rPr>
        <w:t>,</w:t>
      </w:r>
      <w:r w:rsidRPr="008102F5">
        <w:rPr>
          <w:rStyle w:val="normaltextrun"/>
        </w:rPr>
        <w:t xml:space="preserve"> and our staff. We need to elevate the authority and leadership of practice expertise. This will improve job satisfaction for</w:t>
      </w:r>
      <w:r w:rsidR="00645128">
        <w:rPr>
          <w:rStyle w:val="normaltextrun"/>
        </w:rPr>
        <w:t xml:space="preserve"> </w:t>
      </w:r>
      <w:r w:rsidRPr="008102F5">
        <w:rPr>
          <w:rStyle w:val="normaltextrun"/>
        </w:rPr>
        <w:t>our practitioners and support career pathways across the system.</w:t>
      </w:r>
      <w:r w:rsidRPr="008102F5">
        <w:rPr>
          <w:rStyle w:val="FootnoteReference"/>
        </w:rPr>
        <w:footnoteReference w:id="2"/>
      </w:r>
    </w:p>
    <w:p w14:paraId="574C265D" w14:textId="1F5BF496" w:rsidR="00066AA8" w:rsidRDefault="00066AA8" w:rsidP="008102F5">
      <w:pPr>
        <w:pStyle w:val="Heading2"/>
        <w:rPr>
          <w:rStyle w:val="normaltextrun"/>
        </w:rPr>
      </w:pPr>
      <w:bookmarkStart w:id="19" w:name="_Toc170996538"/>
      <w:r>
        <w:rPr>
          <w:rStyle w:val="normaltextrun"/>
        </w:rPr>
        <w:t xml:space="preserve">Definition of </w:t>
      </w:r>
      <w:r w:rsidR="00FD3830">
        <w:rPr>
          <w:rStyle w:val="normaltextrun"/>
        </w:rPr>
        <w:t>p</w:t>
      </w:r>
      <w:r>
        <w:rPr>
          <w:rStyle w:val="normaltextrun"/>
        </w:rPr>
        <w:t>ractice</w:t>
      </w:r>
      <w:bookmarkEnd w:id="19"/>
    </w:p>
    <w:p w14:paraId="1F68A8DC" w14:textId="56018E8F" w:rsidR="00066AA8" w:rsidRPr="006D3CFE" w:rsidRDefault="00066AA8" w:rsidP="00066AA8">
      <w:pPr>
        <w:pStyle w:val="Body"/>
      </w:pPr>
      <w:r>
        <w:t xml:space="preserve">We define practice as ‘the professional application of knowledge, skills, experience and professional judgement’. </w:t>
      </w:r>
      <w:r w:rsidR="00AC5C92">
        <w:t>This is a</w:t>
      </w:r>
      <w:r>
        <w:t>lways with the aim of improved service delivery and enhanced outcomes for Victorians. Practice is about ‘how’ we work.</w:t>
      </w:r>
    </w:p>
    <w:p w14:paraId="0D22C90E" w14:textId="77777777" w:rsidR="00066AA8" w:rsidRPr="004A6C77" w:rsidRDefault="00066AA8" w:rsidP="008102F5">
      <w:pPr>
        <w:pStyle w:val="Heading2"/>
      </w:pPr>
      <w:bookmarkStart w:id="20" w:name="_Toc170996539"/>
      <w:r>
        <w:t>Practice leadership</w:t>
      </w:r>
      <w:bookmarkEnd w:id="20"/>
    </w:p>
    <w:p w14:paraId="6E0FCB11" w14:textId="2B010F48" w:rsidR="00AA2743" w:rsidRDefault="00066AA8" w:rsidP="00066AA8">
      <w:pPr>
        <w:pStyle w:val="Body"/>
        <w:rPr>
          <w:rStyle w:val="normaltextrun"/>
          <w:color w:val="000000"/>
          <w:szCs w:val="21"/>
          <w:shd w:val="clear" w:color="auto" w:fill="FFFFFF"/>
        </w:rPr>
      </w:pPr>
      <w:r>
        <w:rPr>
          <w:rStyle w:val="normaltextrun"/>
          <w:color w:val="000000"/>
          <w:szCs w:val="21"/>
          <w:shd w:val="clear" w:color="auto" w:fill="FFFFFF"/>
        </w:rPr>
        <w:t>We provide a safeguarding function for the department</w:t>
      </w:r>
      <w:r w:rsidR="00AC5C92">
        <w:rPr>
          <w:rStyle w:val="normaltextrun"/>
          <w:color w:val="000000"/>
          <w:szCs w:val="21"/>
          <w:shd w:val="clear" w:color="auto" w:fill="FFFFFF"/>
        </w:rPr>
        <w:t>. This</w:t>
      </w:r>
      <w:r>
        <w:rPr>
          <w:rStyle w:val="normaltextrun"/>
          <w:color w:val="000000"/>
          <w:szCs w:val="21"/>
          <w:shd w:val="clear" w:color="auto" w:fill="FFFFFF"/>
        </w:rPr>
        <w:t xml:space="preserve"> contribut</w:t>
      </w:r>
      <w:r w:rsidR="00AC5C92">
        <w:rPr>
          <w:rStyle w:val="normaltextrun"/>
          <w:color w:val="000000"/>
          <w:szCs w:val="21"/>
          <w:shd w:val="clear" w:color="auto" w:fill="FFFFFF"/>
        </w:rPr>
        <w:t>es</w:t>
      </w:r>
      <w:r>
        <w:rPr>
          <w:rStyle w:val="normaltextrun"/>
          <w:color w:val="000000"/>
          <w:szCs w:val="21"/>
          <w:shd w:val="clear" w:color="auto" w:fill="FFFFFF"/>
        </w:rPr>
        <w:t xml:space="preserve"> information and intelligence about</w:t>
      </w:r>
      <w:r w:rsidR="00AA2743">
        <w:rPr>
          <w:rStyle w:val="normaltextrun"/>
          <w:color w:val="000000"/>
          <w:szCs w:val="21"/>
          <w:shd w:val="clear" w:color="auto" w:fill="FFFFFF"/>
        </w:rPr>
        <w:t>:</w:t>
      </w:r>
      <w:r>
        <w:rPr>
          <w:rStyle w:val="normaltextrun"/>
          <w:color w:val="000000"/>
          <w:szCs w:val="21"/>
          <w:shd w:val="clear" w:color="auto" w:fill="FFFFFF"/>
        </w:rPr>
        <w:t xml:space="preserve"> </w:t>
      </w:r>
    </w:p>
    <w:p w14:paraId="7B1BCC94" w14:textId="182EC87C" w:rsidR="00AA2743" w:rsidRDefault="00066AA8" w:rsidP="00AA2743">
      <w:pPr>
        <w:pStyle w:val="Bullet1"/>
        <w:rPr>
          <w:rStyle w:val="normaltextrun"/>
          <w:color w:val="000000"/>
          <w:szCs w:val="21"/>
          <w:shd w:val="clear" w:color="auto" w:fill="FFFFFF"/>
        </w:rPr>
      </w:pPr>
      <w:r w:rsidRPr="00AB6443">
        <w:rPr>
          <w:rStyle w:val="normaltextrun"/>
          <w:color w:val="000000"/>
          <w:szCs w:val="21"/>
          <w:shd w:val="clear" w:color="auto" w:fill="FFFFFF"/>
        </w:rPr>
        <w:t>how</w:t>
      </w:r>
      <w:r w:rsidRPr="00AB52E4">
        <w:rPr>
          <w:rStyle w:val="normaltextrun"/>
          <w:i/>
          <w:iCs/>
          <w:color w:val="000000"/>
          <w:szCs w:val="21"/>
          <w:shd w:val="clear" w:color="auto" w:fill="FFFFFF"/>
        </w:rPr>
        <w:t xml:space="preserve"> </w:t>
      </w:r>
      <w:r>
        <w:rPr>
          <w:rStyle w:val="normaltextrun"/>
          <w:color w:val="000000"/>
          <w:szCs w:val="21"/>
          <w:shd w:val="clear" w:color="auto" w:fill="FFFFFF"/>
        </w:rPr>
        <w:t>services are being delivered</w:t>
      </w:r>
    </w:p>
    <w:p w14:paraId="2B759ACE" w14:textId="1F8181BC" w:rsidR="00AA2743" w:rsidRDefault="00066AA8" w:rsidP="00AA2743">
      <w:pPr>
        <w:pStyle w:val="Bullet1"/>
        <w:rPr>
          <w:rStyle w:val="normaltextrun"/>
          <w:color w:val="000000"/>
          <w:szCs w:val="21"/>
          <w:shd w:val="clear" w:color="auto" w:fill="FFFFFF"/>
        </w:rPr>
      </w:pPr>
      <w:r>
        <w:rPr>
          <w:rStyle w:val="normaltextrun"/>
          <w:color w:val="000000"/>
          <w:szCs w:val="21"/>
          <w:shd w:val="clear" w:color="auto" w:fill="FFFFFF"/>
        </w:rPr>
        <w:t>what works well</w:t>
      </w:r>
    </w:p>
    <w:p w14:paraId="5CED8FB4" w14:textId="074FE7EF" w:rsidR="00AA2743" w:rsidRDefault="00066AA8" w:rsidP="00CD545F">
      <w:pPr>
        <w:pStyle w:val="Bullet1"/>
        <w:rPr>
          <w:rStyle w:val="normaltextrun"/>
          <w:color w:val="000000"/>
          <w:szCs w:val="21"/>
          <w:shd w:val="clear" w:color="auto" w:fill="FFFFFF"/>
        </w:rPr>
      </w:pPr>
      <w:r>
        <w:rPr>
          <w:rStyle w:val="normaltextrun"/>
          <w:color w:val="000000"/>
          <w:szCs w:val="21"/>
          <w:shd w:val="clear" w:color="auto" w:fill="FFFFFF"/>
        </w:rPr>
        <w:t xml:space="preserve">what changes </w:t>
      </w:r>
      <w:r w:rsidR="006E71FD">
        <w:rPr>
          <w:rStyle w:val="normaltextrun"/>
          <w:color w:val="000000"/>
          <w:szCs w:val="21"/>
          <w:shd w:val="clear" w:color="auto" w:fill="FFFFFF"/>
        </w:rPr>
        <w:t xml:space="preserve">we </w:t>
      </w:r>
      <w:r>
        <w:rPr>
          <w:rStyle w:val="normaltextrun"/>
          <w:color w:val="000000"/>
          <w:szCs w:val="21"/>
          <w:shd w:val="clear" w:color="auto" w:fill="FFFFFF"/>
        </w:rPr>
        <w:t>need</w:t>
      </w:r>
      <w:r w:rsidR="006E71FD">
        <w:rPr>
          <w:rStyle w:val="normaltextrun"/>
          <w:color w:val="000000"/>
          <w:szCs w:val="21"/>
          <w:shd w:val="clear" w:color="auto" w:fill="FFFFFF"/>
        </w:rPr>
        <w:t xml:space="preserve"> to make</w:t>
      </w:r>
      <w:r>
        <w:rPr>
          <w:rStyle w:val="normaltextrun"/>
          <w:color w:val="000000"/>
          <w:szCs w:val="21"/>
          <w:shd w:val="clear" w:color="auto" w:fill="FFFFFF"/>
        </w:rPr>
        <w:t xml:space="preserve"> to improve outcomes</w:t>
      </w:r>
      <w:r w:rsidR="00AA2743">
        <w:rPr>
          <w:rStyle w:val="normaltextrun"/>
          <w:color w:val="000000"/>
          <w:szCs w:val="21"/>
          <w:shd w:val="clear" w:color="auto" w:fill="FFFFFF"/>
        </w:rPr>
        <w:t>.</w:t>
      </w:r>
      <w:r>
        <w:rPr>
          <w:rStyle w:val="normaltextrun"/>
          <w:color w:val="000000"/>
          <w:szCs w:val="21"/>
          <w:shd w:val="clear" w:color="auto" w:fill="FFFFFF"/>
        </w:rPr>
        <w:t xml:space="preserve"> </w:t>
      </w:r>
    </w:p>
    <w:p w14:paraId="10D7BC99" w14:textId="4FA30614" w:rsidR="002829E7" w:rsidRDefault="00AA2743">
      <w:pPr>
        <w:pStyle w:val="Bodyafterbullets"/>
        <w:rPr>
          <w:rStyle w:val="normaltextrun"/>
          <w:color w:val="000000"/>
          <w:szCs w:val="21"/>
          <w:shd w:val="clear" w:color="auto" w:fill="FFFFFF"/>
        </w:rPr>
      </w:pPr>
      <w:r>
        <w:rPr>
          <w:rStyle w:val="normaltextrun"/>
          <w:color w:val="000000"/>
          <w:szCs w:val="21"/>
          <w:shd w:val="clear" w:color="auto" w:fill="FFFFFF"/>
        </w:rPr>
        <w:t xml:space="preserve">We </w:t>
      </w:r>
      <w:r w:rsidR="00066AA8">
        <w:rPr>
          <w:rStyle w:val="normaltextrun"/>
          <w:color w:val="000000"/>
          <w:szCs w:val="21"/>
          <w:shd w:val="clear" w:color="auto" w:fill="FFFFFF"/>
        </w:rPr>
        <w:t xml:space="preserve">always </w:t>
      </w:r>
      <w:r>
        <w:rPr>
          <w:rStyle w:val="normaltextrun"/>
          <w:color w:val="000000"/>
          <w:szCs w:val="21"/>
          <w:shd w:val="clear" w:color="auto" w:fill="FFFFFF"/>
        </w:rPr>
        <w:t xml:space="preserve">do this </w:t>
      </w:r>
      <w:r w:rsidR="00AC5C92">
        <w:rPr>
          <w:rStyle w:val="normaltextrun"/>
          <w:color w:val="000000"/>
          <w:szCs w:val="21"/>
          <w:shd w:val="clear" w:color="auto" w:fill="FFFFFF"/>
        </w:rPr>
        <w:t xml:space="preserve">in the spirit </w:t>
      </w:r>
      <w:r w:rsidR="00066AA8">
        <w:rPr>
          <w:rStyle w:val="normaltextrun"/>
          <w:color w:val="000000"/>
          <w:szCs w:val="21"/>
          <w:shd w:val="clear" w:color="auto" w:fill="FFFFFF"/>
        </w:rPr>
        <w:t>of continuous improvement. We set the frame for what is good practice</w:t>
      </w:r>
      <w:r w:rsidR="00AC5C92">
        <w:rPr>
          <w:rStyle w:val="normaltextrun"/>
          <w:color w:val="000000"/>
          <w:szCs w:val="21"/>
          <w:shd w:val="clear" w:color="auto" w:fill="FFFFFF"/>
        </w:rPr>
        <w:t>. We</w:t>
      </w:r>
      <w:r w:rsidR="00066AA8">
        <w:rPr>
          <w:rStyle w:val="normaltextrun"/>
          <w:color w:val="000000"/>
          <w:szCs w:val="21"/>
          <w:shd w:val="clear" w:color="auto" w:fill="FFFFFF"/>
        </w:rPr>
        <w:t xml:space="preserve"> support practitioners to learn from practice challenges when they arise. </w:t>
      </w:r>
    </w:p>
    <w:p w14:paraId="0A87DC5B" w14:textId="3C2D1C29" w:rsidR="00066AA8" w:rsidRPr="00E73D63" w:rsidRDefault="00066AA8" w:rsidP="00ED48B8">
      <w:pPr>
        <w:pStyle w:val="Bodyafterbullets"/>
        <w:rPr>
          <w:shd w:val="clear" w:color="auto" w:fill="FFFFFF"/>
        </w:rPr>
      </w:pPr>
      <w:r>
        <w:rPr>
          <w:rStyle w:val="normaltextrun"/>
          <w:color w:val="000000"/>
          <w:szCs w:val="21"/>
          <w:shd w:val="clear" w:color="auto" w:fill="FFFFFF"/>
        </w:rPr>
        <w:t>Our role is to help find a way forward when it’s needed. We are a value-add to the role of operations within the department and the sector.</w:t>
      </w:r>
    </w:p>
    <w:p w14:paraId="191D405D" w14:textId="77777777" w:rsidR="00066AA8" w:rsidRPr="00EF19CA" w:rsidRDefault="00066AA8" w:rsidP="00066AA8">
      <w:pPr>
        <w:pStyle w:val="Body"/>
      </w:pPr>
      <w:r>
        <w:rPr>
          <w:lang w:val="en-US"/>
        </w:rPr>
        <w:t>We</w:t>
      </w:r>
      <w:r>
        <w:t xml:space="preserve"> aim to enable and build the department’s practice capacity</w:t>
      </w:r>
      <w:r w:rsidRPr="00EF19CA">
        <w:t xml:space="preserve"> </w:t>
      </w:r>
      <w:r>
        <w:t>by:</w:t>
      </w:r>
    </w:p>
    <w:p w14:paraId="123AF732" w14:textId="77777777" w:rsidR="00066AA8" w:rsidRPr="00EF19CA" w:rsidRDefault="00066AA8" w:rsidP="00066AA8">
      <w:pPr>
        <w:pStyle w:val="Bullet1"/>
      </w:pPr>
      <w:r>
        <w:t>evidencing o</w:t>
      </w:r>
      <w:r w:rsidRPr="00EF19CA">
        <w:t>ur strategic and systemic role in practice leadership</w:t>
      </w:r>
    </w:p>
    <w:p w14:paraId="7B29F09C" w14:textId="77777777" w:rsidR="00066AA8" w:rsidRDefault="00066AA8" w:rsidP="00066AA8">
      <w:pPr>
        <w:pStyle w:val="Bullet1"/>
      </w:pPr>
      <w:r>
        <w:t>promoting</w:t>
      </w:r>
      <w:r w:rsidRPr="00EF19CA">
        <w:t xml:space="preserve"> examples of </w:t>
      </w:r>
      <w:r>
        <w:t>good</w:t>
      </w:r>
      <w:r w:rsidRPr="00EF19CA">
        <w:t xml:space="preserve"> practice</w:t>
      </w:r>
    </w:p>
    <w:p w14:paraId="13007A66" w14:textId="77777777" w:rsidR="00066AA8" w:rsidRPr="00EF19CA" w:rsidRDefault="00066AA8" w:rsidP="00066AA8">
      <w:pPr>
        <w:pStyle w:val="Bullet1"/>
      </w:pPr>
      <w:r>
        <w:t xml:space="preserve">using </w:t>
      </w:r>
      <w:r w:rsidRPr="00EF19CA">
        <w:t>contemporary evidence</w:t>
      </w:r>
      <w:r>
        <w:t xml:space="preserve"> to inform practice development</w:t>
      </w:r>
    </w:p>
    <w:p w14:paraId="146459EC" w14:textId="77777777" w:rsidR="00066AA8" w:rsidRPr="00EF19CA" w:rsidRDefault="00066AA8" w:rsidP="00066AA8">
      <w:pPr>
        <w:pStyle w:val="Bullet1"/>
      </w:pPr>
      <w:r>
        <w:t>improving how we support and build the capability of leaders in practice</w:t>
      </w:r>
    </w:p>
    <w:p w14:paraId="68DA756B" w14:textId="77777777" w:rsidR="00066AA8" w:rsidRPr="00EF19CA" w:rsidRDefault="00066AA8" w:rsidP="00066AA8">
      <w:pPr>
        <w:pStyle w:val="Bullet1"/>
      </w:pPr>
      <w:r w:rsidRPr="00EF19CA">
        <w:t>build</w:t>
      </w:r>
      <w:r>
        <w:t>ing</w:t>
      </w:r>
      <w:r w:rsidRPr="00EF19CA">
        <w:t xml:space="preserve"> collaborative approach</w:t>
      </w:r>
      <w:r>
        <w:t xml:space="preserve">es for how we provide </w:t>
      </w:r>
      <w:r w:rsidRPr="00EF19CA">
        <w:t>support</w:t>
      </w:r>
      <w:r>
        <w:t xml:space="preserve">, </w:t>
      </w:r>
      <w:r w:rsidRPr="00EF19CA">
        <w:t>safeguarding</w:t>
      </w:r>
      <w:r>
        <w:t xml:space="preserve"> </w:t>
      </w:r>
      <w:r w:rsidRPr="00EF19CA">
        <w:t>and continuous improvement</w:t>
      </w:r>
    </w:p>
    <w:p w14:paraId="1FD77D0A" w14:textId="77777777" w:rsidR="00066AA8" w:rsidRPr="00EF19CA" w:rsidRDefault="00066AA8" w:rsidP="00066AA8">
      <w:pPr>
        <w:pStyle w:val="Bullet1"/>
      </w:pPr>
      <w:r>
        <w:t>embedding</w:t>
      </w:r>
      <w:r w:rsidRPr="00EF19CA">
        <w:t xml:space="preserve"> a learning culture that </w:t>
      </w:r>
      <w:r>
        <w:t>promotes</w:t>
      </w:r>
      <w:r w:rsidRPr="00EF19CA">
        <w:t xml:space="preserve"> professional development </w:t>
      </w:r>
      <w:r>
        <w:t xml:space="preserve">and capability building </w:t>
      </w:r>
      <w:r w:rsidRPr="00EF19CA">
        <w:t>for frontline workforces</w:t>
      </w:r>
    </w:p>
    <w:p w14:paraId="28E4A314" w14:textId="5D00C013" w:rsidR="00066AA8" w:rsidRDefault="00066AA8" w:rsidP="00066AA8">
      <w:pPr>
        <w:pStyle w:val="Bullet1"/>
      </w:pPr>
      <w:r w:rsidRPr="00EF19CA">
        <w:t>engaging with external partners to improve ways of working</w:t>
      </w:r>
      <w:r>
        <w:t xml:space="preserve"> and</w:t>
      </w:r>
      <w:r w:rsidR="00AA2743">
        <w:t>,</w:t>
      </w:r>
      <w:r>
        <w:t xml:space="preserve"> at times, advocating for services </w:t>
      </w:r>
      <w:r w:rsidR="00AA2743">
        <w:t>for</w:t>
      </w:r>
      <w:r>
        <w:t xml:space="preserve"> clients</w:t>
      </w:r>
      <w:r w:rsidRPr="00EF19CA">
        <w:t>.</w:t>
      </w:r>
    </w:p>
    <w:p w14:paraId="665103D0" w14:textId="77777777" w:rsidR="00066AA8" w:rsidRPr="004A6C77" w:rsidRDefault="00066AA8" w:rsidP="008102F5">
      <w:pPr>
        <w:pStyle w:val="Heading2"/>
      </w:pPr>
      <w:bookmarkStart w:id="21" w:name="_Toc170996540"/>
      <w:r>
        <w:lastRenderedPageBreak/>
        <w:t>Statutory responsibilities</w:t>
      </w:r>
      <w:bookmarkEnd w:id="21"/>
    </w:p>
    <w:p w14:paraId="4D0C42B0" w14:textId="77777777" w:rsidR="00066AA8" w:rsidRDefault="00066AA8" w:rsidP="00066AA8">
      <w:pPr>
        <w:pStyle w:val="Body"/>
        <w:keepNext/>
      </w:pPr>
      <w:r>
        <w:t>We hold some statutory functions relating to:</w:t>
      </w:r>
    </w:p>
    <w:p w14:paraId="6A674B01" w14:textId="3974F17C" w:rsidR="00066AA8" w:rsidRDefault="00066AA8" w:rsidP="00066AA8">
      <w:pPr>
        <w:pStyle w:val="Bullet1"/>
      </w:pPr>
      <w:r>
        <w:t xml:space="preserve">child </w:t>
      </w:r>
      <w:r w:rsidRPr="00EF19CA">
        <w:t>protection</w:t>
      </w:r>
      <w:r>
        <w:t xml:space="preserve"> under the </w:t>
      </w:r>
      <w:r w:rsidRPr="00591EB7">
        <w:rPr>
          <w:i/>
          <w:iCs/>
        </w:rPr>
        <w:t>Children, Youth and Families Act</w:t>
      </w:r>
      <w:r>
        <w:t xml:space="preserve"> </w:t>
      </w:r>
      <w:r w:rsidRPr="00591EB7">
        <w:rPr>
          <w:i/>
          <w:iCs/>
        </w:rPr>
        <w:t>2005</w:t>
      </w:r>
      <w:r>
        <w:rPr>
          <w:rFonts w:ascii="Calibri" w:hAnsi="Calibri" w:cs="Calibri"/>
        </w:rPr>
        <w:t xml:space="preserve"> </w:t>
      </w:r>
      <w:r w:rsidR="00921EA4">
        <w:rPr>
          <w:rFonts w:ascii="Calibri" w:hAnsi="Calibri" w:cs="Calibri"/>
        </w:rPr>
        <w:t xml:space="preserve">– </w:t>
      </w:r>
      <w:r w:rsidR="00921EA4">
        <w:t>t</w:t>
      </w:r>
      <w:r>
        <w:t>he Chief Practitioner and Statewide Principal Practitioners are protective intervenors under s</w:t>
      </w:r>
      <w:r w:rsidR="00895925">
        <w:t>.</w:t>
      </w:r>
      <w:r>
        <w:t xml:space="preserve">181 of the </w:t>
      </w:r>
      <w:r w:rsidR="00FD3830" w:rsidRPr="004A3554">
        <w:t>Act</w:t>
      </w:r>
    </w:p>
    <w:p w14:paraId="17B542E0" w14:textId="33F3E9F2" w:rsidR="00066AA8" w:rsidRPr="00A674BD" w:rsidRDefault="00066AA8" w:rsidP="00066AA8">
      <w:pPr>
        <w:pStyle w:val="Bullet1"/>
        <w:rPr>
          <w:rStyle w:val="normaltextrun"/>
        </w:rPr>
      </w:pPr>
      <w:r>
        <w:t>the Victorian Senior Practitioner</w:t>
      </w:r>
      <w:r w:rsidR="002829E7">
        <w:t>. The Senior Practitioner</w:t>
      </w:r>
      <w:r>
        <w:t xml:space="preserve"> </w:t>
      </w:r>
      <w:r w:rsidR="00AA2743">
        <w:t>is</w:t>
      </w:r>
      <w:r>
        <w:t xml:space="preserve"> responsib</w:t>
      </w:r>
      <w:r w:rsidR="00DE333A">
        <w:t>le</w:t>
      </w:r>
      <w:r>
        <w:t xml:space="preserve"> under the </w:t>
      </w:r>
      <w:r>
        <w:rPr>
          <w:i/>
          <w:iCs/>
        </w:rPr>
        <w:t xml:space="preserve">Disability Act 2006 </w:t>
      </w:r>
      <w:r>
        <w:t xml:space="preserve">(Vic) to ensure the </w:t>
      </w:r>
      <w:r w:rsidRPr="00EF19CA">
        <w:t>rights</w:t>
      </w:r>
      <w:r>
        <w:t xml:space="preserve"> of people who are subject to restrictive practices and compulsory treatment are protected. This includes making sure the department complies with appropriate standards. </w:t>
      </w:r>
      <w:r>
        <w:rPr>
          <w:rStyle w:val="normaltextrun"/>
          <w:rFonts w:cs="Arial"/>
        </w:rPr>
        <w:t>This role is independent of the department.</w:t>
      </w:r>
    </w:p>
    <w:p w14:paraId="1FD3593A" w14:textId="77777777" w:rsidR="00066AA8" w:rsidRPr="00EF19CA" w:rsidRDefault="00066AA8" w:rsidP="008102F5">
      <w:pPr>
        <w:pStyle w:val="Heading2"/>
      </w:pPr>
      <w:bookmarkStart w:id="22" w:name="_Toc170996541"/>
      <w:r>
        <w:rPr>
          <w:rStyle w:val="normaltextrun"/>
        </w:rPr>
        <w:t>Advice, guidance and support</w:t>
      </w:r>
      <w:bookmarkEnd w:id="22"/>
    </w:p>
    <w:p w14:paraId="0A12D559" w14:textId="77777777" w:rsidR="00066AA8" w:rsidRDefault="00066AA8" w:rsidP="00066AA8">
      <w:pPr>
        <w:pStyle w:val="Body"/>
      </w:pPr>
      <w:r>
        <w:t>We provide a range of practice advice, guidance and support to service delivery:</w:t>
      </w:r>
    </w:p>
    <w:p w14:paraId="0F8F718E" w14:textId="77777777" w:rsidR="00066AA8" w:rsidRDefault="00066AA8" w:rsidP="00066AA8">
      <w:pPr>
        <w:pStyle w:val="Bullet1"/>
      </w:pPr>
      <w:r>
        <w:t>practice advice, guidance and support by specialists in child protection, children and families, Aboriginal children and families and family violence</w:t>
      </w:r>
    </w:p>
    <w:p w14:paraId="0D040D3C" w14:textId="77777777" w:rsidR="00066AA8" w:rsidRDefault="00066AA8" w:rsidP="00066AA8">
      <w:pPr>
        <w:pStyle w:val="Bullet1"/>
      </w:pPr>
      <w:r>
        <w:t>professional development and wellbeing for the department’s frontline workforces – child protection, housing and forensic disability</w:t>
      </w:r>
    </w:p>
    <w:p w14:paraId="6F7C768F" w14:textId="75FC60FA" w:rsidR="00066AA8" w:rsidRDefault="00066AA8" w:rsidP="00066AA8">
      <w:pPr>
        <w:pStyle w:val="Bullet1"/>
      </w:pPr>
      <w:r>
        <w:t>advocating for the rights of people with disability</w:t>
      </w:r>
    </w:p>
    <w:p w14:paraId="14DD3BE5" w14:textId="7AF11306" w:rsidR="00066AA8" w:rsidRDefault="00066AA8" w:rsidP="00066AA8">
      <w:pPr>
        <w:pStyle w:val="Bullet1"/>
      </w:pPr>
      <w:r>
        <w:t>developing and leading practice frameworks</w:t>
      </w:r>
      <w:r w:rsidR="00166142">
        <w:t xml:space="preserve"> and approaches</w:t>
      </w:r>
    </w:p>
    <w:p w14:paraId="064F820F" w14:textId="083AAC64" w:rsidR="00066AA8" w:rsidRDefault="00066AA8" w:rsidP="00066AA8">
      <w:pPr>
        <w:pStyle w:val="Bullet1"/>
      </w:pPr>
      <w:r>
        <w:t xml:space="preserve">strategy and practice leadership in joint responses to </w:t>
      </w:r>
      <w:r w:rsidR="00D04E0A">
        <w:t>child sexual and criminal exploitation, and sexual abuse</w:t>
      </w:r>
    </w:p>
    <w:p w14:paraId="333D1FF7" w14:textId="77777777" w:rsidR="00066AA8" w:rsidRDefault="00066AA8" w:rsidP="00066AA8">
      <w:pPr>
        <w:pStyle w:val="Bullet1"/>
      </w:pPr>
      <w:r>
        <w:t>practice leadership in housing and child protection, using themes and analysis to improve practice.</w:t>
      </w:r>
    </w:p>
    <w:p w14:paraId="4B000824" w14:textId="77777777" w:rsidR="00066AA8" w:rsidRDefault="00066AA8" w:rsidP="008102F5">
      <w:pPr>
        <w:pStyle w:val="Heading2"/>
      </w:pPr>
      <w:bookmarkStart w:id="23" w:name="_Toc170996542"/>
      <w:r>
        <w:t>Contributing to reform</w:t>
      </w:r>
      <w:bookmarkEnd w:id="23"/>
    </w:p>
    <w:p w14:paraId="5B453CDF" w14:textId="46A9E808" w:rsidR="00066AA8" w:rsidRDefault="00066AA8" w:rsidP="00066AA8">
      <w:pPr>
        <w:pStyle w:val="Body"/>
      </w:pPr>
      <w:r>
        <w:t xml:space="preserve">The OPP supports the department’s ongoing reforms </w:t>
      </w:r>
      <w:r w:rsidR="00472C98">
        <w:t>through</w:t>
      </w:r>
      <w:r>
        <w:t xml:space="preserve"> a practice leadership lens. </w:t>
      </w:r>
      <w:r w:rsidR="002829E7">
        <w:t>We do this both directly and indirectly.</w:t>
      </w:r>
    </w:p>
    <w:p w14:paraId="0A3D1127" w14:textId="7F374CCD" w:rsidR="00066AA8" w:rsidRDefault="00066AA8" w:rsidP="00066AA8">
      <w:pPr>
        <w:pStyle w:val="Body"/>
      </w:pPr>
      <w:r>
        <w:t xml:space="preserve">Over the </w:t>
      </w:r>
      <w:r w:rsidR="00921EA4">
        <w:t xml:space="preserve">coming </w:t>
      </w:r>
      <w:r>
        <w:t xml:space="preserve">years, significant change will come from: </w:t>
      </w:r>
    </w:p>
    <w:p w14:paraId="63C7CC59" w14:textId="77777777" w:rsidR="00066AA8" w:rsidRDefault="00066AA8" w:rsidP="00066AA8">
      <w:pPr>
        <w:pStyle w:val="Bullet1"/>
      </w:pPr>
      <w:r>
        <w:t>children and families reform</w:t>
      </w:r>
    </w:p>
    <w:p w14:paraId="02F7619B" w14:textId="5A25C316" w:rsidR="00066AA8" w:rsidRDefault="00066AA8" w:rsidP="00066AA8">
      <w:pPr>
        <w:pStyle w:val="Bullet1"/>
      </w:pPr>
      <w:r>
        <w:t>redesign</w:t>
      </w:r>
      <w:r w:rsidR="00045880">
        <w:t>ing</w:t>
      </w:r>
      <w:r>
        <w:t xml:space="preserve"> the child protection operating model</w:t>
      </w:r>
    </w:p>
    <w:p w14:paraId="676820AB" w14:textId="5E30416D" w:rsidR="00066AA8" w:rsidRDefault="00066AA8" w:rsidP="00066AA8">
      <w:pPr>
        <w:pStyle w:val="Bullet1"/>
      </w:pPr>
      <w:r>
        <w:t>develop</w:t>
      </w:r>
      <w:r w:rsidR="00472C98">
        <w:t>ing</w:t>
      </w:r>
      <w:r>
        <w:t xml:space="preserve"> an end-to-end Aboriginal children and families system</w:t>
      </w:r>
    </w:p>
    <w:p w14:paraId="20BA2428" w14:textId="77777777" w:rsidR="00066AA8" w:rsidRDefault="00066AA8" w:rsidP="00066AA8">
      <w:pPr>
        <w:pStyle w:val="Bullet1"/>
      </w:pPr>
      <w:r>
        <w:t>social housing regulation review</w:t>
      </w:r>
    </w:p>
    <w:p w14:paraId="2009C975" w14:textId="3D2798AB" w:rsidR="00066AA8" w:rsidRDefault="00066AA8" w:rsidP="00066AA8">
      <w:pPr>
        <w:pStyle w:val="Bullet1"/>
      </w:pPr>
      <w:r>
        <w:t xml:space="preserve">family violence reform including </w:t>
      </w:r>
      <w:r w:rsidR="00491D54">
        <w:t xml:space="preserve">the </w:t>
      </w:r>
      <w:r w:rsidR="00BA4950">
        <w:t>Multi-Agency Risk Assessment and Management Framework (</w:t>
      </w:r>
      <w:r>
        <w:t>MARAM</w:t>
      </w:r>
      <w:r w:rsidR="00BA4950">
        <w:t>)</w:t>
      </w:r>
      <w:r>
        <w:t xml:space="preserve"> and information sharing</w:t>
      </w:r>
    </w:p>
    <w:p w14:paraId="32824673" w14:textId="7EA060F5" w:rsidR="00066AA8" w:rsidRDefault="00066AA8" w:rsidP="00066AA8">
      <w:pPr>
        <w:pStyle w:val="Bullet1"/>
      </w:pPr>
      <w:r>
        <w:t>develop</w:t>
      </w:r>
      <w:r w:rsidR="00472C98">
        <w:t>ing</w:t>
      </w:r>
      <w:r>
        <w:t xml:space="preserve"> </w:t>
      </w:r>
      <w:r w:rsidR="00472C98">
        <w:t xml:space="preserve">an </w:t>
      </w:r>
      <w:r>
        <w:t>early years strategy</w:t>
      </w:r>
      <w:r w:rsidR="00472C98">
        <w:t xml:space="preserve"> for Victoria</w:t>
      </w:r>
    </w:p>
    <w:p w14:paraId="4AD5856A" w14:textId="77777777" w:rsidR="00066AA8" w:rsidRDefault="00066AA8" w:rsidP="00066AA8">
      <w:pPr>
        <w:pStyle w:val="Bullet1"/>
      </w:pPr>
      <w:r>
        <w:t xml:space="preserve">raising the minimum age of criminal responsibility. </w:t>
      </w:r>
    </w:p>
    <w:p w14:paraId="1FB70ECC" w14:textId="1339DF6C" w:rsidR="00AA2743" w:rsidRDefault="00AA2743" w:rsidP="00066AA8">
      <w:pPr>
        <w:pStyle w:val="Bodyafterbullets"/>
      </w:pPr>
      <w:r>
        <w:t>Recommendations also shape o</w:t>
      </w:r>
      <w:r w:rsidR="00066AA8">
        <w:t>ur work. These include from</w:t>
      </w:r>
      <w:r w:rsidR="00AB5F36">
        <w:t xml:space="preserve"> the</w:t>
      </w:r>
      <w:r>
        <w:t>:</w:t>
      </w:r>
      <w:r w:rsidR="00066AA8">
        <w:t xml:space="preserve"> </w:t>
      </w:r>
    </w:p>
    <w:p w14:paraId="1B6BD30B" w14:textId="7FAF011B" w:rsidR="00AA2743" w:rsidRDefault="00066AA8" w:rsidP="00AA2743">
      <w:pPr>
        <w:pStyle w:val="Bullet1"/>
      </w:pPr>
      <w:r>
        <w:t>Yoorrook Justice Commission</w:t>
      </w:r>
    </w:p>
    <w:p w14:paraId="56CD0C72" w14:textId="3DDA567C" w:rsidR="00AA2743" w:rsidRDefault="00066AA8" w:rsidP="00AA2743">
      <w:pPr>
        <w:pStyle w:val="Bullet1"/>
      </w:pPr>
      <w:r>
        <w:t xml:space="preserve">review of the National Disability Insurance Scheme (NDIS) </w:t>
      </w:r>
    </w:p>
    <w:p w14:paraId="7C6C12F7" w14:textId="2F1625A5" w:rsidR="00066AA8" w:rsidRDefault="00066AA8" w:rsidP="00AB5F36">
      <w:pPr>
        <w:pStyle w:val="Bullet1"/>
      </w:pPr>
      <w:r>
        <w:t xml:space="preserve">Royal Commission into Violence, Abuse, Neglect and Exploitation of People with Disability. </w:t>
      </w:r>
    </w:p>
    <w:p w14:paraId="5920774E" w14:textId="6C94CA69" w:rsidR="00066AA8" w:rsidRDefault="00066AA8" w:rsidP="00066AA8">
      <w:pPr>
        <w:pStyle w:val="Bodyafterbullets"/>
      </w:pPr>
      <w:r>
        <w:t>The reform agenda is significant</w:t>
      </w:r>
      <w:r w:rsidR="001F68A1">
        <w:t>.</w:t>
      </w:r>
      <w:r>
        <w:t xml:space="preserve"> </w:t>
      </w:r>
      <w:r w:rsidR="001F68A1">
        <w:t>T</w:t>
      </w:r>
      <w:r>
        <w:t xml:space="preserve">he work </w:t>
      </w:r>
      <w:r w:rsidR="001F68A1">
        <w:t xml:space="preserve">also </w:t>
      </w:r>
      <w:r>
        <w:t>includes our contributions to state and national reform agendas. We will publish a new strategic plan each year to make sure we are focusing on the right things.</w:t>
      </w:r>
      <w:bookmarkStart w:id="24" w:name="_Toc136351686"/>
      <w:bookmarkStart w:id="25" w:name="_Toc136754371"/>
    </w:p>
    <w:p w14:paraId="4D8DC2A0" w14:textId="77777777" w:rsidR="00066AA8" w:rsidRDefault="00066AA8" w:rsidP="008102F5">
      <w:pPr>
        <w:pStyle w:val="Heading2"/>
      </w:pPr>
      <w:bookmarkStart w:id="26" w:name="_Toc170996543"/>
      <w:bookmarkEnd w:id="24"/>
      <w:bookmarkEnd w:id="25"/>
      <w:r>
        <w:lastRenderedPageBreak/>
        <w:t>Systemic analysis and responses</w:t>
      </w:r>
      <w:bookmarkEnd w:id="26"/>
    </w:p>
    <w:p w14:paraId="5270656A" w14:textId="6371EC69" w:rsidR="00066AA8" w:rsidRDefault="00066AA8" w:rsidP="00066AA8">
      <w:pPr>
        <w:pStyle w:val="Body"/>
      </w:pPr>
      <w:r>
        <w:t>The OPP supports systemic analysis of service responses</w:t>
      </w:r>
      <w:r w:rsidR="00065973">
        <w:t>. We also accept</w:t>
      </w:r>
      <w:r>
        <w:t xml:space="preserve"> requests and recommendations from oversight bodies</w:t>
      </w:r>
      <w:r w:rsidR="00065973">
        <w:t>. These</w:t>
      </w:r>
      <w:r>
        <w:t xml:space="preserve"> includ</w:t>
      </w:r>
      <w:r w:rsidR="00065973">
        <w:t>e</w:t>
      </w:r>
      <w:r>
        <w:t>:</w:t>
      </w:r>
    </w:p>
    <w:p w14:paraId="3CEF85EC" w14:textId="69534E35" w:rsidR="00066AA8" w:rsidRDefault="00066AA8" w:rsidP="00066AA8">
      <w:pPr>
        <w:pStyle w:val="Bullet1"/>
      </w:pPr>
      <w:r>
        <w:t xml:space="preserve">coordinating with the Commission for Children and Young People and the Coroners Court of Victoria </w:t>
      </w:r>
      <w:r w:rsidR="00065973">
        <w:t>on</w:t>
      </w:r>
      <w:r>
        <w:t xml:space="preserve"> the deaths of child protection clients</w:t>
      </w:r>
    </w:p>
    <w:p w14:paraId="4BF19696" w14:textId="29726EF3" w:rsidR="00066AA8" w:rsidRDefault="00065973" w:rsidP="00066AA8">
      <w:pPr>
        <w:pStyle w:val="Bullet1"/>
      </w:pPr>
      <w:r>
        <w:t xml:space="preserve">offering a </w:t>
      </w:r>
      <w:r w:rsidR="00066AA8">
        <w:t>confidential and independent point of contact for department</w:t>
      </w:r>
      <w:r>
        <w:t>al</w:t>
      </w:r>
      <w:r w:rsidR="00066AA8">
        <w:t xml:space="preserve"> staff to report issues of client safety</w:t>
      </w:r>
    </w:p>
    <w:p w14:paraId="0E2AC8E5" w14:textId="7CF9814C" w:rsidR="00066AA8" w:rsidRDefault="00066AA8" w:rsidP="00066AA8">
      <w:pPr>
        <w:pStyle w:val="Bullet1"/>
      </w:pPr>
      <w:r>
        <w:t>review</w:t>
      </w:r>
      <w:r w:rsidR="00065973">
        <w:t>ing</w:t>
      </w:r>
      <w:r>
        <w:t xml:space="preserve"> significant incidents </w:t>
      </w:r>
      <w:r w:rsidR="00065973">
        <w:t xml:space="preserve">affecting </w:t>
      </w:r>
      <w:r>
        <w:t xml:space="preserve">the safety of children, using the </w:t>
      </w:r>
      <w:r w:rsidRPr="00BC2868">
        <w:rPr>
          <w:i/>
          <w:iCs/>
        </w:rPr>
        <w:t xml:space="preserve">Critical </w:t>
      </w:r>
      <w:r w:rsidR="00DE333A">
        <w:rPr>
          <w:i/>
          <w:iCs/>
        </w:rPr>
        <w:t>c</w:t>
      </w:r>
      <w:r w:rsidRPr="00BC2868">
        <w:rPr>
          <w:i/>
          <w:iCs/>
        </w:rPr>
        <w:t xml:space="preserve">ase </w:t>
      </w:r>
      <w:r w:rsidR="00DE333A">
        <w:rPr>
          <w:i/>
          <w:iCs/>
        </w:rPr>
        <w:t>r</w:t>
      </w:r>
      <w:r w:rsidRPr="00BC2868">
        <w:rPr>
          <w:i/>
          <w:iCs/>
        </w:rPr>
        <w:t xml:space="preserve">eview </w:t>
      </w:r>
      <w:r w:rsidR="00DE333A">
        <w:rPr>
          <w:i/>
          <w:iCs/>
        </w:rPr>
        <w:t>f</w:t>
      </w:r>
      <w:r w:rsidRPr="00BC2868">
        <w:rPr>
          <w:i/>
          <w:iCs/>
        </w:rPr>
        <w:t>ramework</w:t>
      </w:r>
    </w:p>
    <w:p w14:paraId="7032BBCD" w14:textId="0AE23EB8" w:rsidR="00065973" w:rsidRDefault="00066AA8" w:rsidP="00066AA8">
      <w:pPr>
        <w:pStyle w:val="Bullet1"/>
      </w:pPr>
      <w:r>
        <w:t>research</w:t>
      </w:r>
      <w:r w:rsidR="00065973">
        <w:t>ing</w:t>
      </w:r>
      <w:r>
        <w:t>, developing guidelines and practice standards, and providing information and education about</w:t>
      </w:r>
      <w:r w:rsidR="00065973">
        <w:t>:</w:t>
      </w:r>
      <w:r>
        <w:t xml:space="preserve"> </w:t>
      </w:r>
    </w:p>
    <w:p w14:paraId="7DA4CB81" w14:textId="23723DB0" w:rsidR="00065973" w:rsidRDefault="00066AA8" w:rsidP="00065973">
      <w:pPr>
        <w:pStyle w:val="Bullet2"/>
      </w:pPr>
      <w:r>
        <w:t>restrictive practices</w:t>
      </w:r>
    </w:p>
    <w:p w14:paraId="006F45FA" w14:textId="5E66A91A" w:rsidR="00065973" w:rsidRDefault="00066AA8" w:rsidP="00065973">
      <w:pPr>
        <w:pStyle w:val="Bullet2"/>
      </w:pPr>
      <w:r>
        <w:t xml:space="preserve">compulsory treatment </w:t>
      </w:r>
    </w:p>
    <w:p w14:paraId="1A69A8D9" w14:textId="70B54A59" w:rsidR="00066AA8" w:rsidRDefault="00066AA8" w:rsidP="005A0E70">
      <w:pPr>
        <w:pStyle w:val="Bullet2"/>
      </w:pPr>
      <w:r>
        <w:t>the rights of people with disability</w:t>
      </w:r>
    </w:p>
    <w:p w14:paraId="4D0D8D81" w14:textId="77777777" w:rsidR="008943DA" w:rsidRDefault="00066AA8" w:rsidP="00066AA8">
      <w:pPr>
        <w:pStyle w:val="Bullet1"/>
      </w:pPr>
      <w:r>
        <w:t>providing direction and recommendations about</w:t>
      </w:r>
      <w:r w:rsidR="008943DA">
        <w:t>:</w:t>
      </w:r>
      <w:r>
        <w:t xml:space="preserve"> </w:t>
      </w:r>
    </w:p>
    <w:p w14:paraId="09A7008D" w14:textId="75F2281F" w:rsidR="008943DA" w:rsidRDefault="00066AA8" w:rsidP="008943DA">
      <w:pPr>
        <w:pStyle w:val="Bullet2"/>
      </w:pPr>
      <w:r>
        <w:t>restrictive practices</w:t>
      </w:r>
    </w:p>
    <w:p w14:paraId="44CF7B5E" w14:textId="65FA2DC3" w:rsidR="008943DA" w:rsidRDefault="00066AA8" w:rsidP="008943DA">
      <w:pPr>
        <w:pStyle w:val="Bullet2"/>
      </w:pPr>
      <w:r>
        <w:t>compulsory treatment</w:t>
      </w:r>
    </w:p>
    <w:p w14:paraId="4E76409F" w14:textId="12B8A1BE" w:rsidR="008943DA" w:rsidRDefault="00066AA8" w:rsidP="008943DA">
      <w:pPr>
        <w:pStyle w:val="Bullet2"/>
      </w:pPr>
      <w:r>
        <w:t xml:space="preserve">behaviour support plans </w:t>
      </w:r>
    </w:p>
    <w:p w14:paraId="627F5463" w14:textId="21302132" w:rsidR="00066AA8" w:rsidRPr="00564995" w:rsidRDefault="00066AA8" w:rsidP="00BE6928">
      <w:pPr>
        <w:pStyle w:val="Bullet2"/>
      </w:pPr>
      <w:r>
        <w:t>treatment plans.</w:t>
      </w:r>
    </w:p>
    <w:p w14:paraId="486E5F37" w14:textId="77777777" w:rsidR="008102F5" w:rsidRDefault="008102F5" w:rsidP="00BE6928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bookmarkStart w:id="27" w:name="_Toc169017928"/>
      <w:r>
        <w:br w:type="page"/>
      </w:r>
    </w:p>
    <w:p w14:paraId="49D545B6" w14:textId="0AA00862" w:rsidR="00066AA8" w:rsidRPr="00116974" w:rsidRDefault="00066AA8" w:rsidP="00066AA8">
      <w:pPr>
        <w:pStyle w:val="Heading1"/>
      </w:pPr>
      <w:bookmarkStart w:id="28" w:name="_Toc170996544"/>
      <w:r w:rsidRPr="007772EE">
        <w:lastRenderedPageBreak/>
        <w:t>Our practice leadership p</w:t>
      </w:r>
      <w:r>
        <w:t>riorities</w:t>
      </w:r>
      <w:r w:rsidR="00921EA4">
        <w:t xml:space="preserve"> in</w:t>
      </w:r>
      <w:r w:rsidRPr="007772EE">
        <w:t xml:space="preserve"> 2024</w:t>
      </w:r>
      <w:r w:rsidR="00921EA4">
        <w:t>–25</w:t>
      </w:r>
      <w:bookmarkEnd w:id="27"/>
      <w:bookmarkEnd w:id="28"/>
    </w:p>
    <w:p w14:paraId="15E0389A" w14:textId="271535A0" w:rsidR="00066AA8" w:rsidRDefault="00E13242" w:rsidP="007F280D">
      <w:pPr>
        <w:pStyle w:val="Body"/>
      </w:pPr>
      <w:r>
        <w:rPr>
          <w:noProof/>
        </w:rPr>
        <w:drawing>
          <wp:inline distT="0" distB="0" distL="0" distR="0" wp14:anchorId="6347740F" wp14:editId="78642B32">
            <wp:extent cx="5904230" cy="5816600"/>
            <wp:effectExtent l="0" t="0" r="1270" b="0"/>
            <wp:docPr id="1326878213" name="Picture 1" descr="Our practice leadership priorities in 2024 to 2025: Building and promoting evidence-based practice; Supporting frontline workforces with expert practice advice; Safeguarding and continuous improvement; Delivering professional development for frontline workforces; and Partnering across government to inform policy, service design and workforce development with leading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78213" name="Picture 1" descr="Our practice leadership priorities in 2024 to 2025: Building and promoting evidence-based practice; Supporting frontline workforces with expert practice advice; Safeguarding and continuous improvement; Delivering professional development for frontline workforces; and Partnering across government to inform policy, service design and workforce development with leading practi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2B7C" w14:textId="77777777" w:rsidR="00066AA8" w:rsidRPr="008102F5" w:rsidRDefault="00066AA8" w:rsidP="008102F5">
      <w:pPr>
        <w:pStyle w:val="Body"/>
        <w:rPr>
          <w:b/>
          <w:bCs/>
        </w:rPr>
      </w:pPr>
      <w:r w:rsidRPr="008102F5">
        <w:rPr>
          <w:b/>
          <w:bCs/>
        </w:rPr>
        <w:t>These five priorities will guide our work from 1 July 2024 to 30 June 2025.</w:t>
      </w:r>
    </w:p>
    <w:p w14:paraId="10248D12" w14:textId="32741C2A" w:rsidR="00066AA8" w:rsidRDefault="00066AA8" w:rsidP="00066AA8">
      <w:pPr>
        <w:pStyle w:val="Body"/>
      </w:pPr>
      <w:r w:rsidRPr="00A350E3">
        <w:rPr>
          <w:rStyle w:val="Strong"/>
          <w:b w:val="0"/>
          <w:bCs w:val="0"/>
        </w:rPr>
        <w:t>U</w:t>
      </w:r>
      <w:r>
        <w:t>nder each priority are specific areas of focus and actions</w:t>
      </w:r>
      <w:r w:rsidR="00F10AF4">
        <w:t>.</w:t>
      </w:r>
      <w:r>
        <w:t xml:space="preserve"> </w:t>
      </w:r>
      <w:r w:rsidR="00F10AF4">
        <w:t>W</w:t>
      </w:r>
      <w:r>
        <w:t xml:space="preserve">e will be accountable for delivering </w:t>
      </w:r>
      <w:r w:rsidR="00F10AF4">
        <w:t xml:space="preserve">these </w:t>
      </w:r>
      <w:r>
        <w:t>over the year.</w:t>
      </w:r>
    </w:p>
    <w:p w14:paraId="0746972C" w14:textId="77777777" w:rsidR="00387D06" w:rsidRDefault="00387D06">
      <w:pPr>
        <w:spacing w:after="0" w:line="240" w:lineRule="auto"/>
        <w:rPr>
          <w:b/>
          <w:color w:val="504678"/>
          <w:sz w:val="32"/>
          <w:szCs w:val="28"/>
        </w:rPr>
      </w:pPr>
      <w:bookmarkStart w:id="29" w:name="_Toc169017931"/>
      <w:r>
        <w:rPr>
          <w:color w:val="504678"/>
        </w:rPr>
        <w:br w:type="page"/>
      </w:r>
    </w:p>
    <w:p w14:paraId="6E225651" w14:textId="1F07A780" w:rsidR="00066AA8" w:rsidRPr="00487FC4" w:rsidRDefault="00066AA8" w:rsidP="00066AA8">
      <w:pPr>
        <w:pStyle w:val="Heading2"/>
        <w:rPr>
          <w:color w:val="504678"/>
        </w:rPr>
      </w:pPr>
      <w:bookmarkStart w:id="30" w:name="_Toc170996545"/>
      <w:r w:rsidRPr="00487FC4">
        <w:rPr>
          <w:color w:val="504678"/>
        </w:rPr>
        <w:lastRenderedPageBreak/>
        <w:t>Building and promoting evidence-based practice</w:t>
      </w:r>
      <w:bookmarkEnd w:id="29"/>
      <w:bookmarkEnd w:id="30"/>
    </w:p>
    <w:p w14:paraId="36564A7A" w14:textId="59DDFEF1" w:rsidR="00066AA8" w:rsidRDefault="00066AA8" w:rsidP="00731299">
      <w:pPr>
        <w:pStyle w:val="Body"/>
      </w:pPr>
      <w:r>
        <w:t xml:space="preserve">We will use </w:t>
      </w:r>
      <w:r w:rsidRPr="002727E3">
        <w:t>data</w:t>
      </w:r>
      <w:r>
        <w:t xml:space="preserve"> and evidence from research</w:t>
      </w:r>
      <w:r w:rsidRPr="002727E3">
        <w:t xml:space="preserve"> to inform our work</w:t>
      </w:r>
      <w:r w:rsidR="00A0054A">
        <w:t>. Data will offer</w:t>
      </w:r>
      <w:r w:rsidRPr="002727E3">
        <w:t xml:space="preserve"> guidance on qualitative measures to determine the effectiveness of our work.</w:t>
      </w:r>
    </w:p>
    <w:p w14:paraId="2773F746" w14:textId="77777777" w:rsidR="00066AA8" w:rsidRPr="008102F5" w:rsidRDefault="00066AA8" w:rsidP="008102F5">
      <w:pPr>
        <w:pStyle w:val="Body"/>
      </w:pPr>
      <w:r w:rsidRPr="008102F5">
        <w:t>Our actions are to:</w:t>
      </w:r>
    </w:p>
    <w:p w14:paraId="26E200D0" w14:textId="693E89FE" w:rsidR="00066AA8" w:rsidRDefault="00066AA8" w:rsidP="008102F5">
      <w:pPr>
        <w:pStyle w:val="Heading3"/>
      </w:pPr>
      <w:r>
        <w:t>Drive and support use of contemporary evidence to inform practice</w:t>
      </w:r>
    </w:p>
    <w:p w14:paraId="4745F0DF" w14:textId="21530F27" w:rsidR="00066AA8" w:rsidRDefault="00066AA8" w:rsidP="008102F5">
      <w:pPr>
        <w:pStyle w:val="Bullet1"/>
      </w:pPr>
      <w:r w:rsidRPr="005841D1">
        <w:t xml:space="preserve">Develop a </w:t>
      </w:r>
      <w:r w:rsidR="00921EA4">
        <w:t>p</w:t>
      </w:r>
      <w:r w:rsidRPr="00927822">
        <w:t xml:space="preserve">ractice </w:t>
      </w:r>
      <w:r w:rsidR="00FA5639">
        <w:t>approach</w:t>
      </w:r>
      <w:r w:rsidRPr="00927822">
        <w:t xml:space="preserve"> for Child Protection</w:t>
      </w:r>
      <w:r w:rsidR="00671BBE">
        <w:t>.</w:t>
      </w:r>
    </w:p>
    <w:p w14:paraId="61367586" w14:textId="0A78FDE6" w:rsidR="00066AA8" w:rsidRDefault="00066AA8" w:rsidP="008102F5">
      <w:pPr>
        <w:pStyle w:val="Bullet1"/>
        <w:rPr>
          <w:rFonts w:eastAsia="Arial"/>
        </w:rPr>
      </w:pPr>
      <w:r w:rsidRPr="00927822">
        <w:t>Continue to embed and develop the</w:t>
      </w:r>
      <w:r>
        <w:rPr>
          <w:rFonts w:eastAsia="Arial"/>
        </w:rPr>
        <w:t xml:space="preserve"> SAFER Children </w:t>
      </w:r>
      <w:r w:rsidR="00921EA4">
        <w:rPr>
          <w:rFonts w:eastAsia="Arial"/>
        </w:rPr>
        <w:t>f</w:t>
      </w:r>
      <w:r>
        <w:rPr>
          <w:rFonts w:eastAsia="Arial"/>
        </w:rPr>
        <w:t>ramework,</w:t>
      </w:r>
      <w:r w:rsidRPr="001B4F68">
        <w:rPr>
          <w:rFonts w:eastAsia="Arial"/>
        </w:rPr>
        <w:t xml:space="preserve"> </w:t>
      </w:r>
      <w:r>
        <w:rPr>
          <w:rFonts w:eastAsia="Arial"/>
        </w:rPr>
        <w:t>informed by evaluation</w:t>
      </w:r>
      <w:r w:rsidR="00671BBE">
        <w:rPr>
          <w:rFonts w:eastAsia="Arial"/>
        </w:rPr>
        <w:t>.</w:t>
      </w:r>
    </w:p>
    <w:p w14:paraId="01477FB5" w14:textId="2911CCA3" w:rsidR="00066AA8" w:rsidRDefault="00066AA8" w:rsidP="008102F5">
      <w:pPr>
        <w:pStyle w:val="Bullet1"/>
      </w:pPr>
      <w:r w:rsidRPr="003B2BFD">
        <w:t xml:space="preserve">Redevelop the </w:t>
      </w:r>
      <w:r w:rsidRPr="005841D1">
        <w:t xml:space="preserve">Child </w:t>
      </w:r>
      <w:r>
        <w:t>P</w:t>
      </w:r>
      <w:r w:rsidRPr="005841D1">
        <w:t>rotection manual</w:t>
      </w:r>
      <w:r w:rsidRPr="003B2BFD">
        <w:t xml:space="preserve"> </w:t>
      </w:r>
      <w:r>
        <w:t xml:space="preserve">to </w:t>
      </w:r>
      <w:r w:rsidRPr="005343DA">
        <w:t>be the contemporary practice guidance</w:t>
      </w:r>
      <w:r w:rsidR="00671BBE">
        <w:t>.</w:t>
      </w:r>
    </w:p>
    <w:p w14:paraId="2EFAF70E" w14:textId="31C84657" w:rsidR="00066AA8" w:rsidRPr="007D3A2A" w:rsidRDefault="00066AA8" w:rsidP="008102F5">
      <w:pPr>
        <w:pStyle w:val="Bullet1"/>
      </w:pPr>
      <w:r>
        <w:t xml:space="preserve">Embed the </w:t>
      </w:r>
      <w:r w:rsidRPr="00166142">
        <w:rPr>
          <w:i/>
          <w:iCs/>
        </w:rPr>
        <w:t xml:space="preserve">Framework for </w:t>
      </w:r>
      <w:r w:rsidR="00921EA4">
        <w:rPr>
          <w:i/>
          <w:iCs/>
        </w:rPr>
        <w:t>t</w:t>
      </w:r>
      <w:r w:rsidRPr="00166142">
        <w:rPr>
          <w:i/>
          <w:iCs/>
        </w:rPr>
        <w:t>rauma-</w:t>
      </w:r>
      <w:r w:rsidR="00921EA4">
        <w:rPr>
          <w:i/>
          <w:iCs/>
        </w:rPr>
        <w:t>i</w:t>
      </w:r>
      <w:r w:rsidRPr="00166142">
        <w:rPr>
          <w:i/>
          <w:iCs/>
        </w:rPr>
        <w:t xml:space="preserve">nformed </w:t>
      </w:r>
      <w:r w:rsidR="00921EA4">
        <w:rPr>
          <w:i/>
          <w:iCs/>
        </w:rPr>
        <w:t>p</w:t>
      </w:r>
      <w:r w:rsidRPr="00166142">
        <w:rPr>
          <w:i/>
          <w:iCs/>
        </w:rPr>
        <w:t>ractice</w:t>
      </w:r>
      <w:r>
        <w:t xml:space="preserve"> in professional development programs and the functions of </w:t>
      </w:r>
      <w:r w:rsidR="00A0054A">
        <w:t xml:space="preserve">the </w:t>
      </w:r>
      <w:r>
        <w:t>OPP.</w:t>
      </w:r>
    </w:p>
    <w:p w14:paraId="6CE4A5AE" w14:textId="77777777" w:rsidR="00066AA8" w:rsidRDefault="00066AA8" w:rsidP="008102F5">
      <w:pPr>
        <w:pStyle w:val="Heading3"/>
      </w:pPr>
      <w:r>
        <w:t>Determine the effectiveness of our work</w:t>
      </w:r>
    </w:p>
    <w:p w14:paraId="1AB50880" w14:textId="498F9EB7" w:rsidR="00066AA8" w:rsidRDefault="00066AA8" w:rsidP="008102F5">
      <w:pPr>
        <w:pStyle w:val="Bullet1"/>
      </w:pPr>
      <w:r>
        <w:t xml:space="preserve">Evaluate the Child Protection </w:t>
      </w:r>
      <w:r w:rsidR="00921EA4">
        <w:t>i</w:t>
      </w:r>
      <w:r>
        <w:t>nduction programs (CPP2 and Practice Induction Program)</w:t>
      </w:r>
      <w:r w:rsidR="00671BBE">
        <w:t>.</w:t>
      </w:r>
    </w:p>
    <w:p w14:paraId="2E13D12C" w14:textId="7C6A51FB" w:rsidR="00066AA8" w:rsidRDefault="00066AA8" w:rsidP="008102F5">
      <w:pPr>
        <w:pStyle w:val="Bullet1"/>
      </w:pPr>
      <w:r>
        <w:t xml:space="preserve">Monitor and report on the Child Protection </w:t>
      </w:r>
      <w:r w:rsidRPr="003550DD">
        <w:rPr>
          <w:i/>
          <w:iCs/>
        </w:rPr>
        <w:t xml:space="preserve">Mental </w:t>
      </w:r>
      <w:r w:rsidR="00FD3830">
        <w:rPr>
          <w:i/>
          <w:iCs/>
        </w:rPr>
        <w:t>h</w:t>
      </w:r>
      <w:r w:rsidRPr="003550DD">
        <w:rPr>
          <w:i/>
          <w:iCs/>
        </w:rPr>
        <w:t xml:space="preserve">ealth </w:t>
      </w:r>
      <w:r w:rsidR="00FD3830">
        <w:rPr>
          <w:i/>
          <w:iCs/>
        </w:rPr>
        <w:t>and</w:t>
      </w:r>
      <w:r w:rsidRPr="003550DD">
        <w:rPr>
          <w:i/>
          <w:iCs/>
        </w:rPr>
        <w:t xml:space="preserve"> </w:t>
      </w:r>
      <w:r w:rsidR="00FD3830">
        <w:rPr>
          <w:i/>
          <w:iCs/>
        </w:rPr>
        <w:t>w</w:t>
      </w:r>
      <w:r w:rsidRPr="003550DD">
        <w:rPr>
          <w:i/>
          <w:iCs/>
        </w:rPr>
        <w:t xml:space="preserve">ellbeing </w:t>
      </w:r>
      <w:r w:rsidR="00FD3830">
        <w:rPr>
          <w:i/>
          <w:iCs/>
        </w:rPr>
        <w:t>p</w:t>
      </w:r>
      <w:r w:rsidRPr="003550DD">
        <w:rPr>
          <w:i/>
          <w:iCs/>
        </w:rPr>
        <w:t>lan 2024</w:t>
      </w:r>
      <w:r w:rsidR="00FD3830">
        <w:rPr>
          <w:i/>
          <w:iCs/>
        </w:rPr>
        <w:t>–</w:t>
      </w:r>
      <w:r w:rsidRPr="003550DD">
        <w:rPr>
          <w:i/>
          <w:iCs/>
        </w:rPr>
        <w:t>25</w:t>
      </w:r>
      <w:r w:rsidR="00671BBE">
        <w:t>.</w:t>
      </w:r>
    </w:p>
    <w:p w14:paraId="494C4114" w14:textId="15D7FDCD" w:rsidR="00066AA8" w:rsidRDefault="00066AA8" w:rsidP="008102F5">
      <w:pPr>
        <w:pStyle w:val="Bullet1"/>
      </w:pPr>
      <w:r w:rsidRPr="7D944AF3">
        <w:t>Continue evaluati</w:t>
      </w:r>
      <w:r w:rsidR="00A0054A">
        <w:t>ng</w:t>
      </w:r>
      <w:r w:rsidRPr="7D944AF3">
        <w:t xml:space="preserve"> the Court Practice Advice and Support Service.</w:t>
      </w:r>
    </w:p>
    <w:p w14:paraId="0D6969AC" w14:textId="77777777" w:rsidR="00066AA8" w:rsidRPr="00D16B0A" w:rsidRDefault="00066AA8" w:rsidP="008102F5">
      <w:pPr>
        <w:pStyle w:val="Heading3"/>
      </w:pPr>
      <w:r>
        <w:t>Enhance professional development opportunities for all OPP staff</w:t>
      </w:r>
    </w:p>
    <w:p w14:paraId="200790F3" w14:textId="10C5F685" w:rsidR="00066AA8" w:rsidRDefault="00066AA8" w:rsidP="008102F5">
      <w:pPr>
        <w:pStyle w:val="Bullet1"/>
      </w:pPr>
      <w:r>
        <w:t>Undertake a skills audit of OPP staff</w:t>
      </w:r>
      <w:r w:rsidR="00671BBE">
        <w:t>.</w:t>
      </w:r>
    </w:p>
    <w:p w14:paraId="7646A077" w14:textId="331BB815" w:rsidR="00066AA8" w:rsidRPr="008102F5" w:rsidRDefault="00066AA8" w:rsidP="00066AA8">
      <w:pPr>
        <w:pStyle w:val="Bullet1"/>
      </w:pPr>
      <w:r>
        <w:t>Deliver a program of opportunities for knowledge dissemination across the branch.</w:t>
      </w:r>
    </w:p>
    <w:p w14:paraId="47A169D6" w14:textId="77777777" w:rsidR="00387D06" w:rsidRDefault="00387D06">
      <w:pPr>
        <w:spacing w:after="0" w:line="240" w:lineRule="auto"/>
        <w:rPr>
          <w:b/>
          <w:color w:val="009CA6"/>
          <w:sz w:val="32"/>
          <w:szCs w:val="28"/>
        </w:rPr>
      </w:pPr>
      <w:bookmarkStart w:id="31" w:name="_Toc169017932"/>
      <w:r>
        <w:rPr>
          <w:color w:val="009CA6"/>
        </w:rPr>
        <w:br w:type="page"/>
      </w:r>
    </w:p>
    <w:p w14:paraId="0E86F07E" w14:textId="77777777" w:rsidR="00066AA8" w:rsidRPr="009F293F" w:rsidRDefault="00066AA8" w:rsidP="00066AA8">
      <w:pPr>
        <w:pStyle w:val="Heading2"/>
        <w:rPr>
          <w:color w:val="009CA6"/>
        </w:rPr>
      </w:pPr>
      <w:bookmarkStart w:id="32" w:name="_Toc170996546"/>
      <w:r w:rsidRPr="009F293F">
        <w:rPr>
          <w:color w:val="009CA6"/>
        </w:rPr>
        <w:lastRenderedPageBreak/>
        <w:t>Supporting frontline workforces with expert practice advice</w:t>
      </w:r>
      <w:bookmarkEnd w:id="31"/>
      <w:bookmarkEnd w:id="32"/>
    </w:p>
    <w:p w14:paraId="2912D338" w14:textId="77777777" w:rsidR="00A0054A" w:rsidRDefault="00066AA8" w:rsidP="008664B1">
      <w:pPr>
        <w:pStyle w:val="Body"/>
      </w:pPr>
      <w:r>
        <w:t>We</w:t>
      </w:r>
      <w:r w:rsidRPr="002727E3">
        <w:t xml:space="preserve"> aim to</w:t>
      </w:r>
      <w:r w:rsidR="00A0054A">
        <w:t>:</w:t>
      </w:r>
      <w:r w:rsidRPr="002727E3">
        <w:t xml:space="preserve"> </w:t>
      </w:r>
    </w:p>
    <w:p w14:paraId="10398B5F" w14:textId="5D5CA920" w:rsidR="00A0054A" w:rsidRDefault="00066AA8" w:rsidP="00A0054A">
      <w:pPr>
        <w:pStyle w:val="Bullet1"/>
      </w:pPr>
      <w:r>
        <w:t>provide contemporary and evidence-based advice</w:t>
      </w:r>
    </w:p>
    <w:p w14:paraId="11879975" w14:textId="55D341C4" w:rsidR="00A0054A" w:rsidRDefault="00066AA8" w:rsidP="00A0054A">
      <w:pPr>
        <w:pStyle w:val="Bullet1"/>
      </w:pPr>
      <w:r>
        <w:t>share critical learnings and information</w:t>
      </w:r>
    </w:p>
    <w:p w14:paraId="69C4BD9B" w14:textId="07B6F953" w:rsidR="00066AA8" w:rsidRDefault="00066AA8" w:rsidP="00D06B8A">
      <w:pPr>
        <w:pStyle w:val="Bullet1"/>
      </w:pPr>
      <w:r>
        <w:t>build partnerships to provide support across the service system.</w:t>
      </w:r>
    </w:p>
    <w:p w14:paraId="3BAAC71D" w14:textId="77777777" w:rsidR="00066AA8" w:rsidRPr="00FD3830" w:rsidRDefault="00066AA8" w:rsidP="00D06B8A">
      <w:pPr>
        <w:pStyle w:val="Bodyafterbullets"/>
      </w:pPr>
      <w:r>
        <w:t>Our actions are to:</w:t>
      </w:r>
    </w:p>
    <w:p w14:paraId="21A57B47" w14:textId="77777777" w:rsidR="00066AA8" w:rsidRDefault="00066AA8" w:rsidP="008102F5">
      <w:pPr>
        <w:pStyle w:val="Heading3"/>
      </w:pPr>
      <w:r>
        <w:t>Role model practice leadership</w:t>
      </w:r>
    </w:p>
    <w:p w14:paraId="6477212B" w14:textId="12B49A0A" w:rsidR="00066AA8" w:rsidRDefault="00066AA8" w:rsidP="008102F5">
      <w:pPr>
        <w:pStyle w:val="Bullet1"/>
      </w:pPr>
      <w:r w:rsidRPr="7D944AF3">
        <w:t>Provide responsive in</w:t>
      </w:r>
      <w:r>
        <w:t>-</w:t>
      </w:r>
      <w:r w:rsidRPr="7D944AF3">
        <w:t>reach practice support for Child Protection</w:t>
      </w:r>
      <w:r w:rsidR="006E71FD">
        <w:t>.</w:t>
      </w:r>
      <w:r w:rsidRPr="7D944AF3">
        <w:t xml:space="preserve"> (</w:t>
      </w:r>
      <w:r w:rsidR="006E71FD">
        <w:t>R</w:t>
      </w:r>
      <w:r w:rsidRPr="7D944AF3">
        <w:t>eferral</w:t>
      </w:r>
      <w:r w:rsidR="006E71FD">
        <w:t>s are</w:t>
      </w:r>
      <w:r w:rsidRPr="7D944AF3">
        <w:t xml:space="preserve"> based on request and</w:t>
      </w:r>
      <w:r w:rsidR="00A0054A">
        <w:t>,</w:t>
      </w:r>
      <w:r w:rsidRPr="7D944AF3">
        <w:t xml:space="preserve"> where identified</w:t>
      </w:r>
      <w:r w:rsidR="00A0054A">
        <w:t>,</w:t>
      </w:r>
      <w:r w:rsidRPr="7D944AF3">
        <w:t xml:space="preserve"> as needed</w:t>
      </w:r>
      <w:r w:rsidR="006E71FD">
        <w:t>.</w:t>
      </w:r>
      <w:r w:rsidRPr="7D944AF3">
        <w:t>)</w:t>
      </w:r>
    </w:p>
    <w:p w14:paraId="4940484F" w14:textId="2926F009" w:rsidR="00066AA8" w:rsidRDefault="00066AA8" w:rsidP="008102F5">
      <w:pPr>
        <w:pStyle w:val="Bullet1"/>
      </w:pPr>
      <w:r w:rsidRPr="7D944AF3">
        <w:t xml:space="preserve">Deliver Communities of Practice, focusing </w:t>
      </w:r>
      <w:r w:rsidR="00921EA4">
        <w:t>first</w:t>
      </w:r>
      <w:r w:rsidR="00921EA4" w:rsidRPr="7D944AF3">
        <w:t xml:space="preserve"> </w:t>
      </w:r>
      <w:r w:rsidRPr="7D944AF3">
        <w:t xml:space="preserve">on </w:t>
      </w:r>
      <w:r w:rsidR="00921EA4">
        <w:t>c</w:t>
      </w:r>
      <w:r w:rsidRPr="7D944AF3">
        <w:t xml:space="preserve">hild </w:t>
      </w:r>
      <w:r w:rsidR="00921EA4">
        <w:t>s</w:t>
      </w:r>
      <w:r w:rsidRPr="7D944AF3">
        <w:t xml:space="preserve">exual </w:t>
      </w:r>
      <w:r w:rsidR="00921EA4">
        <w:t>e</w:t>
      </w:r>
      <w:r w:rsidRPr="7D944AF3">
        <w:t xml:space="preserve">xploitation, </w:t>
      </w:r>
      <w:r w:rsidR="00921EA4">
        <w:t>f</w:t>
      </w:r>
      <w:r w:rsidRPr="7D944AF3">
        <w:t xml:space="preserve">amily </w:t>
      </w:r>
      <w:r w:rsidR="00921EA4">
        <w:t>v</w:t>
      </w:r>
      <w:r w:rsidRPr="7D944AF3">
        <w:t xml:space="preserve">iolence, </w:t>
      </w:r>
      <w:r w:rsidR="00921EA4">
        <w:t>c</w:t>
      </w:r>
      <w:r w:rsidRPr="7D944AF3">
        <w:t>hildren with disability</w:t>
      </w:r>
      <w:r w:rsidR="00A0054A">
        <w:t>.</w:t>
      </w:r>
      <w:r w:rsidRPr="7D944AF3">
        <w:t xml:space="preserve"> </w:t>
      </w:r>
      <w:r w:rsidR="00A0054A">
        <w:t xml:space="preserve">Include </w:t>
      </w:r>
      <w:r w:rsidR="00921EA4">
        <w:t>t</w:t>
      </w:r>
      <w:r w:rsidRPr="7D944AF3">
        <w:t xml:space="preserve">herapeutic </w:t>
      </w:r>
      <w:r w:rsidR="00921EA4">
        <w:t>s</w:t>
      </w:r>
      <w:r w:rsidRPr="7D944AF3">
        <w:t>pecialists involved in deliver</w:t>
      </w:r>
      <w:r w:rsidR="00921EA4">
        <w:t>ing</w:t>
      </w:r>
      <w:r w:rsidRPr="7D944AF3">
        <w:t xml:space="preserve"> </w:t>
      </w:r>
      <w:r w:rsidR="00921EA4">
        <w:t>t</w:t>
      </w:r>
      <w:r w:rsidRPr="7D944AF3">
        <w:t xml:space="preserve">herapeutic </w:t>
      </w:r>
      <w:r w:rsidR="00921EA4">
        <w:t>r</w:t>
      </w:r>
      <w:r w:rsidRPr="7D944AF3">
        <w:t xml:space="preserve">esidential </w:t>
      </w:r>
      <w:r w:rsidR="00921EA4">
        <w:t>c</w:t>
      </w:r>
      <w:r w:rsidRPr="7D944AF3">
        <w:t>are in Victoria.</w:t>
      </w:r>
    </w:p>
    <w:p w14:paraId="4222E8CC" w14:textId="77777777" w:rsidR="00066AA8" w:rsidRPr="00885B2B" w:rsidRDefault="00066AA8" w:rsidP="008102F5">
      <w:pPr>
        <w:pStyle w:val="Heading3"/>
      </w:pPr>
      <w:r w:rsidRPr="00885B2B">
        <w:t xml:space="preserve">Provide </w:t>
      </w:r>
      <w:r>
        <w:t xml:space="preserve">timely quality </w:t>
      </w:r>
      <w:r w:rsidRPr="00885B2B">
        <w:t>practice advice, expertise and system support</w:t>
      </w:r>
    </w:p>
    <w:p w14:paraId="5049BBBE" w14:textId="6E9E8B16" w:rsidR="00066AA8" w:rsidRDefault="00066AA8" w:rsidP="008102F5">
      <w:pPr>
        <w:pStyle w:val="Bullet1"/>
      </w:pPr>
      <w:r>
        <w:t>Develop clear referral pathways, guides and direction on when a referral must occur</w:t>
      </w:r>
      <w:r w:rsidR="00671BBE">
        <w:t>.</w:t>
      </w:r>
    </w:p>
    <w:p w14:paraId="37B43580" w14:textId="3E2C25AD" w:rsidR="00066AA8" w:rsidRDefault="00066AA8" w:rsidP="008102F5">
      <w:pPr>
        <w:pStyle w:val="Bullet1"/>
      </w:pPr>
      <w:r>
        <w:t>Develop and launch an OPP SharePoint</w:t>
      </w:r>
      <w:r w:rsidR="007D2C98">
        <w:t>.</w:t>
      </w:r>
    </w:p>
    <w:p w14:paraId="1775424C" w14:textId="0596E9B6" w:rsidR="00066AA8" w:rsidRDefault="00066AA8" w:rsidP="008102F5">
      <w:pPr>
        <w:pStyle w:val="Bullet1"/>
      </w:pPr>
      <w:r>
        <w:t>Establish a multidisciplinary panel approach for respon</w:t>
      </w:r>
      <w:r w:rsidR="009B53C8">
        <w:t>ding</w:t>
      </w:r>
      <w:r>
        <w:t xml:space="preserve"> to practice and client complexity.</w:t>
      </w:r>
    </w:p>
    <w:p w14:paraId="087D2C70" w14:textId="77777777" w:rsidR="00066AA8" w:rsidRDefault="00066AA8" w:rsidP="008102F5">
      <w:pPr>
        <w:pStyle w:val="Heading3"/>
      </w:pPr>
      <w:r>
        <w:t>Enhance departmental responses to specific critical incidents</w:t>
      </w:r>
    </w:p>
    <w:p w14:paraId="451E7B76" w14:textId="60DA907B" w:rsidR="00066AA8" w:rsidRDefault="00066AA8" w:rsidP="008102F5">
      <w:pPr>
        <w:pStyle w:val="Bullet1"/>
      </w:pPr>
      <w:r>
        <w:t xml:space="preserve">Review the </w:t>
      </w:r>
      <w:r w:rsidRPr="00DA00C4">
        <w:rPr>
          <w:i/>
          <w:iCs/>
        </w:rPr>
        <w:t xml:space="preserve">Critical </w:t>
      </w:r>
      <w:r w:rsidR="00921EA4">
        <w:rPr>
          <w:i/>
          <w:iCs/>
        </w:rPr>
        <w:t>c</w:t>
      </w:r>
      <w:r w:rsidRPr="00DA00C4">
        <w:rPr>
          <w:i/>
          <w:iCs/>
        </w:rPr>
        <w:t xml:space="preserve">ase </w:t>
      </w:r>
      <w:r w:rsidR="00921EA4">
        <w:rPr>
          <w:i/>
          <w:iCs/>
        </w:rPr>
        <w:t>r</w:t>
      </w:r>
      <w:r w:rsidRPr="00DA00C4">
        <w:rPr>
          <w:i/>
          <w:iCs/>
        </w:rPr>
        <w:t xml:space="preserve">eview </w:t>
      </w:r>
      <w:r w:rsidR="00921EA4">
        <w:rPr>
          <w:i/>
          <w:iCs/>
        </w:rPr>
        <w:t>f</w:t>
      </w:r>
      <w:r w:rsidRPr="00DA00C4">
        <w:rPr>
          <w:i/>
          <w:iCs/>
        </w:rPr>
        <w:t>ramework</w:t>
      </w:r>
      <w:r>
        <w:t xml:space="preserve"> for broader application outside </w:t>
      </w:r>
      <w:r w:rsidR="00F6535F">
        <w:t xml:space="preserve">the </w:t>
      </w:r>
      <w:r>
        <w:t>OPP as a standardised response for when significant incidents occur</w:t>
      </w:r>
      <w:r w:rsidR="007D2C98">
        <w:t>.</w:t>
      </w:r>
    </w:p>
    <w:p w14:paraId="3D732F3D" w14:textId="5FDE442C" w:rsidR="00066AA8" w:rsidRDefault="00066AA8" w:rsidP="008102F5">
      <w:pPr>
        <w:pStyle w:val="Bullet1"/>
      </w:pPr>
      <w:r>
        <w:t>Redevelop processes for responding to situations involving a child death</w:t>
      </w:r>
      <w:r w:rsidR="00F6535F">
        <w:t>. This includes</w:t>
      </w:r>
      <w:r>
        <w:t xml:space="preserve"> initial review and preparing for requests from the Coroners Court of Victoria.</w:t>
      </w:r>
    </w:p>
    <w:p w14:paraId="1058A7DE" w14:textId="77777777" w:rsidR="00F6535F" w:rsidRDefault="00066AA8" w:rsidP="00066AA8">
      <w:pPr>
        <w:pStyle w:val="Bullet1"/>
      </w:pPr>
      <w:r>
        <w:t>Develop a process for sharing practice learning from</w:t>
      </w:r>
      <w:r w:rsidR="00F6535F">
        <w:t>:</w:t>
      </w:r>
      <w:r>
        <w:t xml:space="preserve"> </w:t>
      </w:r>
    </w:p>
    <w:p w14:paraId="070D03F8" w14:textId="6CEA266C" w:rsidR="00F6535F" w:rsidRDefault="00066AA8" w:rsidP="00F6535F">
      <w:pPr>
        <w:pStyle w:val="Bullet2"/>
      </w:pPr>
      <w:r>
        <w:t>deaths</w:t>
      </w:r>
    </w:p>
    <w:p w14:paraId="64F9AF75" w14:textId="013955D2" w:rsidR="00F6535F" w:rsidRDefault="00F6535F" w:rsidP="00F6535F">
      <w:pPr>
        <w:pStyle w:val="Bullet2"/>
      </w:pPr>
      <w:r>
        <w:t>the</w:t>
      </w:r>
      <w:r w:rsidR="00066AA8">
        <w:t xml:space="preserve"> </w:t>
      </w:r>
      <w:r w:rsidR="00FD3830" w:rsidRPr="00DA00C4">
        <w:rPr>
          <w:i/>
          <w:iCs/>
        </w:rPr>
        <w:t xml:space="preserve">Critical </w:t>
      </w:r>
      <w:r w:rsidR="00921EA4">
        <w:rPr>
          <w:i/>
          <w:iCs/>
        </w:rPr>
        <w:t>c</w:t>
      </w:r>
      <w:r w:rsidR="00FD3830" w:rsidRPr="00DA00C4">
        <w:rPr>
          <w:i/>
          <w:iCs/>
        </w:rPr>
        <w:t xml:space="preserve">ase </w:t>
      </w:r>
      <w:r w:rsidR="00921EA4">
        <w:rPr>
          <w:i/>
          <w:iCs/>
        </w:rPr>
        <w:t>r</w:t>
      </w:r>
      <w:r w:rsidR="00FD3830" w:rsidRPr="00DA00C4">
        <w:rPr>
          <w:i/>
          <w:iCs/>
        </w:rPr>
        <w:t xml:space="preserve">eview </w:t>
      </w:r>
      <w:r w:rsidR="00921EA4">
        <w:rPr>
          <w:i/>
          <w:iCs/>
        </w:rPr>
        <w:t>f</w:t>
      </w:r>
      <w:r w:rsidR="00FD3830" w:rsidRPr="00DA00C4">
        <w:rPr>
          <w:i/>
          <w:iCs/>
        </w:rPr>
        <w:t>ramework</w:t>
      </w:r>
      <w:r w:rsidR="00FD3830">
        <w:t xml:space="preserve"> </w:t>
      </w:r>
    </w:p>
    <w:p w14:paraId="11622D58" w14:textId="364089F8" w:rsidR="00066AA8" w:rsidRDefault="00066AA8" w:rsidP="00DA00C4">
      <w:pPr>
        <w:pStyle w:val="Bullet2"/>
      </w:pPr>
      <w:r>
        <w:t>other case reviews.</w:t>
      </w:r>
    </w:p>
    <w:p w14:paraId="7728144B" w14:textId="77777777" w:rsidR="00387D06" w:rsidRDefault="00387D06">
      <w:pPr>
        <w:spacing w:after="0" w:line="240" w:lineRule="auto"/>
        <w:rPr>
          <w:b/>
          <w:color w:val="AF272F"/>
          <w:sz w:val="32"/>
          <w:szCs w:val="28"/>
        </w:rPr>
      </w:pPr>
      <w:bookmarkStart w:id="33" w:name="_Toc169017933"/>
      <w:r>
        <w:rPr>
          <w:color w:val="AF272F"/>
        </w:rPr>
        <w:br w:type="page"/>
      </w:r>
    </w:p>
    <w:p w14:paraId="7E725338" w14:textId="77777777" w:rsidR="00066AA8" w:rsidRPr="007219D8" w:rsidRDefault="00066AA8" w:rsidP="00066AA8">
      <w:pPr>
        <w:pStyle w:val="Heading2"/>
        <w:rPr>
          <w:color w:val="AF272F"/>
        </w:rPr>
      </w:pPr>
      <w:bookmarkStart w:id="34" w:name="_Toc170996547"/>
      <w:r w:rsidRPr="007219D8">
        <w:rPr>
          <w:color w:val="AF272F"/>
        </w:rPr>
        <w:lastRenderedPageBreak/>
        <w:t>Safeguarding and continuous improvement</w:t>
      </w:r>
      <w:bookmarkEnd w:id="33"/>
      <w:bookmarkEnd w:id="34"/>
    </w:p>
    <w:p w14:paraId="7DCD4563" w14:textId="77777777" w:rsidR="00F6535F" w:rsidRDefault="00F6535F" w:rsidP="008664B1">
      <w:pPr>
        <w:pStyle w:val="Body"/>
      </w:pPr>
      <w:r>
        <w:t xml:space="preserve">The </w:t>
      </w:r>
      <w:r w:rsidR="00066AA8">
        <w:t>OPP wants to champion a just and learning culture through</w:t>
      </w:r>
      <w:r>
        <w:t>:</w:t>
      </w:r>
      <w:r w:rsidR="00066AA8">
        <w:t xml:space="preserve"> </w:t>
      </w:r>
    </w:p>
    <w:p w14:paraId="58F15D26" w14:textId="0F9E122A" w:rsidR="00F6535F" w:rsidRDefault="00066AA8" w:rsidP="00F6535F">
      <w:pPr>
        <w:pStyle w:val="Bullet1"/>
      </w:pPr>
      <w:r>
        <w:t>upholding safeguards</w:t>
      </w:r>
    </w:p>
    <w:p w14:paraId="396E5A63" w14:textId="2BECC9BB" w:rsidR="00F6535F" w:rsidRDefault="00066AA8" w:rsidP="00F6535F">
      <w:pPr>
        <w:pStyle w:val="Bullet1"/>
      </w:pPr>
      <w:r>
        <w:t>promoting transparency in practice</w:t>
      </w:r>
    </w:p>
    <w:p w14:paraId="02EF8BC6" w14:textId="7E27016B" w:rsidR="00066AA8" w:rsidRDefault="00066AA8" w:rsidP="00DA00C4">
      <w:pPr>
        <w:pStyle w:val="Bullet1"/>
      </w:pPr>
      <w:r>
        <w:t>fostering continuous improvement.</w:t>
      </w:r>
    </w:p>
    <w:p w14:paraId="3AD1EB4B" w14:textId="77777777" w:rsidR="00066AA8" w:rsidRPr="008102F5" w:rsidRDefault="00066AA8" w:rsidP="00DA00C4">
      <w:pPr>
        <w:pStyle w:val="Bodyafterbullets"/>
      </w:pPr>
      <w:r>
        <w:t>Our actions are to:</w:t>
      </w:r>
    </w:p>
    <w:p w14:paraId="223C7737" w14:textId="14B8E0F7" w:rsidR="00066AA8" w:rsidRPr="00DD049E" w:rsidRDefault="00066AA8" w:rsidP="008102F5">
      <w:pPr>
        <w:pStyle w:val="Heading3"/>
      </w:pPr>
      <w:r w:rsidRPr="00DD049E">
        <w:t xml:space="preserve">Strengthen </w:t>
      </w:r>
      <w:r w:rsidR="00F6535F">
        <w:t xml:space="preserve">the </w:t>
      </w:r>
      <w:r>
        <w:t>department’s key safeguarding reforms</w:t>
      </w:r>
      <w:r w:rsidRPr="00DD049E">
        <w:t xml:space="preserve"> </w:t>
      </w:r>
    </w:p>
    <w:p w14:paraId="04B630BB" w14:textId="0BC11B69" w:rsidR="00066AA8" w:rsidRDefault="00066AA8" w:rsidP="008102F5">
      <w:pPr>
        <w:pStyle w:val="Bullet1"/>
      </w:pPr>
      <w:r>
        <w:t>Develop a strategic joint response to child sexual and criminal exploitation, and sexual abuse</w:t>
      </w:r>
      <w:r w:rsidR="00F6535F">
        <w:t>. This includes</w:t>
      </w:r>
      <w:r>
        <w:t xml:space="preserve"> intelligence and practice leadership components</w:t>
      </w:r>
      <w:r w:rsidR="007D2C98">
        <w:t>.</w:t>
      </w:r>
    </w:p>
    <w:p w14:paraId="5C782ECE" w14:textId="0A453BDA" w:rsidR="00066AA8" w:rsidRDefault="00066AA8" w:rsidP="008102F5">
      <w:pPr>
        <w:pStyle w:val="Bullet1"/>
        <w:rPr>
          <w:rFonts w:eastAsia="Arial"/>
        </w:rPr>
      </w:pPr>
      <w:r>
        <w:rPr>
          <w:rFonts w:eastAsia="Arial"/>
        </w:rPr>
        <w:t>Align policy, practice and professional development to the MARAM Framework</w:t>
      </w:r>
      <w:r w:rsidR="00F6535F">
        <w:rPr>
          <w:rFonts w:eastAsia="Arial"/>
        </w:rPr>
        <w:t>. This includes</w:t>
      </w:r>
      <w:r>
        <w:rPr>
          <w:rFonts w:eastAsia="Arial"/>
        </w:rPr>
        <w:t xml:space="preserve"> </w:t>
      </w:r>
      <w:r w:rsidR="00921EA4">
        <w:rPr>
          <w:rFonts w:eastAsia="Arial"/>
        </w:rPr>
        <w:t xml:space="preserve">the </w:t>
      </w:r>
      <w:r>
        <w:rPr>
          <w:rFonts w:eastAsia="Arial"/>
        </w:rPr>
        <w:t xml:space="preserve">MARAM Adults Using Family Violence guidance, tools and training. </w:t>
      </w:r>
    </w:p>
    <w:p w14:paraId="09A86982" w14:textId="77777777" w:rsidR="00066AA8" w:rsidRPr="00DD049E" w:rsidRDefault="00066AA8" w:rsidP="008102F5">
      <w:pPr>
        <w:pStyle w:val="Heading3"/>
      </w:pPr>
      <w:r>
        <w:t xml:space="preserve">Promote dissemination of </w:t>
      </w:r>
      <w:r w:rsidRPr="00DD049E">
        <w:t>systemic analys</w:t>
      </w:r>
      <w:r>
        <w:t>e</w:t>
      </w:r>
      <w:r w:rsidRPr="00DD049E">
        <w:t xml:space="preserve">s </w:t>
      </w:r>
    </w:p>
    <w:p w14:paraId="1CE45D72" w14:textId="144C5D83" w:rsidR="00066AA8" w:rsidRPr="00DD049E" w:rsidRDefault="00066AA8" w:rsidP="008102F5">
      <w:pPr>
        <w:pStyle w:val="Bullet1"/>
      </w:pPr>
      <w:r w:rsidRPr="00DD049E">
        <w:t xml:space="preserve">Establish regular </w:t>
      </w:r>
      <w:r>
        <w:t xml:space="preserve">practice </w:t>
      </w:r>
      <w:r w:rsidRPr="00DD049E">
        <w:t xml:space="preserve">forums and </w:t>
      </w:r>
      <w:r>
        <w:t>ways of communicating</w:t>
      </w:r>
      <w:r w:rsidR="007D2C98">
        <w:t>.</w:t>
      </w:r>
    </w:p>
    <w:p w14:paraId="7FE1A13F" w14:textId="1084AA7D" w:rsidR="00066AA8" w:rsidRDefault="00066AA8" w:rsidP="008102F5">
      <w:pPr>
        <w:pStyle w:val="Bullet1"/>
      </w:pPr>
      <w:r w:rsidRPr="00DD049E">
        <w:t xml:space="preserve">Develop </w:t>
      </w:r>
      <w:r>
        <w:t xml:space="preserve">a </w:t>
      </w:r>
      <w:r w:rsidRPr="00DD049E">
        <w:t>reflective practice approach</w:t>
      </w:r>
      <w:r w:rsidR="007D2C98">
        <w:t>.</w:t>
      </w:r>
    </w:p>
    <w:p w14:paraId="0DF3EEFE" w14:textId="50AC2123" w:rsidR="00066AA8" w:rsidRPr="00DD049E" w:rsidRDefault="00066AA8" w:rsidP="008102F5">
      <w:pPr>
        <w:pStyle w:val="Bullet1"/>
      </w:pPr>
      <w:r>
        <w:t xml:space="preserve">Develop refreshed child protection professional supervision operational policy, practice tools and professional development (phase </w:t>
      </w:r>
      <w:r w:rsidR="00921EA4">
        <w:t>1</w:t>
      </w:r>
      <w:r>
        <w:t>).</w:t>
      </w:r>
    </w:p>
    <w:p w14:paraId="6224388C" w14:textId="77777777" w:rsidR="00066AA8" w:rsidRDefault="00066AA8" w:rsidP="008102F5">
      <w:pPr>
        <w:pStyle w:val="Heading3"/>
      </w:pPr>
      <w:r>
        <w:t>Contribute to safeguarding frameworks</w:t>
      </w:r>
    </w:p>
    <w:p w14:paraId="229A4E7E" w14:textId="6EC66960" w:rsidR="00066AA8" w:rsidRPr="00FB11DA" w:rsidRDefault="00066AA8" w:rsidP="008102F5">
      <w:pPr>
        <w:pStyle w:val="Bullet1"/>
      </w:pPr>
      <w:r w:rsidRPr="00FB11DA">
        <w:t>Review existing panels</w:t>
      </w:r>
      <w:r>
        <w:t xml:space="preserve"> (High Risk Youth and Intensive Infant Response)</w:t>
      </w:r>
      <w:r w:rsidR="007D2C98">
        <w:t>.</w:t>
      </w:r>
    </w:p>
    <w:p w14:paraId="727B591A" w14:textId="3724C33B" w:rsidR="00066AA8" w:rsidRDefault="007D2C98" w:rsidP="00066AA8">
      <w:pPr>
        <w:pStyle w:val="Bullet1"/>
      </w:pPr>
      <w:r>
        <w:t>A</w:t>
      </w:r>
      <w:r w:rsidR="00066AA8" w:rsidRPr="00B36B77">
        <w:t>dvi</w:t>
      </w:r>
      <w:r>
        <w:t>s</w:t>
      </w:r>
      <w:r w:rsidR="00066AA8" w:rsidRPr="00B36B77">
        <w:t>e the Corporate and Delivery Services division on translati</w:t>
      </w:r>
      <w:r>
        <w:t>ng</w:t>
      </w:r>
      <w:r w:rsidR="00066AA8" w:rsidRPr="00B36B77">
        <w:t xml:space="preserve"> the Child Safe Standards into the department’s service delivery.</w:t>
      </w:r>
    </w:p>
    <w:p w14:paraId="2E9715C4" w14:textId="77777777" w:rsidR="00387D06" w:rsidRDefault="00387D06">
      <w:pPr>
        <w:spacing w:after="0" w:line="240" w:lineRule="auto"/>
        <w:rPr>
          <w:b/>
          <w:color w:val="007B4B"/>
          <w:sz w:val="32"/>
          <w:szCs w:val="28"/>
        </w:rPr>
      </w:pPr>
      <w:bookmarkStart w:id="35" w:name="_Toc169017934"/>
      <w:r>
        <w:rPr>
          <w:color w:val="007B4B"/>
        </w:rPr>
        <w:br w:type="page"/>
      </w:r>
    </w:p>
    <w:p w14:paraId="01163E8C" w14:textId="77777777" w:rsidR="00066AA8" w:rsidRPr="00EF5208" w:rsidRDefault="00066AA8" w:rsidP="00066AA8">
      <w:pPr>
        <w:pStyle w:val="Heading2"/>
        <w:rPr>
          <w:color w:val="007B4B"/>
        </w:rPr>
      </w:pPr>
      <w:bookmarkStart w:id="36" w:name="_Toc170996548"/>
      <w:r w:rsidRPr="00EF5208">
        <w:rPr>
          <w:color w:val="007B4B"/>
        </w:rPr>
        <w:lastRenderedPageBreak/>
        <w:t>Delivering professional development for frontline workforces</w:t>
      </w:r>
      <w:bookmarkEnd w:id="35"/>
      <w:bookmarkEnd w:id="36"/>
      <w:r w:rsidRPr="00EF5208">
        <w:rPr>
          <w:color w:val="007B4B"/>
        </w:rPr>
        <w:t xml:space="preserve"> </w:t>
      </w:r>
    </w:p>
    <w:p w14:paraId="305FD9D9" w14:textId="77777777" w:rsidR="00B92CD9" w:rsidRDefault="00B92CD9" w:rsidP="00731299">
      <w:pPr>
        <w:pStyle w:val="Body"/>
      </w:pPr>
      <w:r>
        <w:t xml:space="preserve">The </w:t>
      </w:r>
      <w:r w:rsidR="00066AA8">
        <w:t>OPP works with frontline workforces to promote and encourage</w:t>
      </w:r>
      <w:r>
        <w:t>:</w:t>
      </w:r>
      <w:r w:rsidR="00066AA8">
        <w:t xml:space="preserve"> </w:t>
      </w:r>
    </w:p>
    <w:p w14:paraId="6C0AEDC4" w14:textId="186276E4" w:rsidR="00B92CD9" w:rsidRDefault="00066AA8" w:rsidP="00B92CD9">
      <w:pPr>
        <w:pStyle w:val="Bullet1"/>
      </w:pPr>
      <w:r>
        <w:t>professional development</w:t>
      </w:r>
    </w:p>
    <w:p w14:paraId="66278D91" w14:textId="1477D51C" w:rsidR="00B92CD9" w:rsidRDefault="00066AA8" w:rsidP="00B92CD9">
      <w:pPr>
        <w:pStyle w:val="Bullet1"/>
      </w:pPr>
      <w:r>
        <w:t xml:space="preserve">leadership </w:t>
      </w:r>
    </w:p>
    <w:p w14:paraId="4D6A3D53" w14:textId="46F95465" w:rsidR="00066AA8" w:rsidRDefault="00066AA8" w:rsidP="00F830A5">
      <w:pPr>
        <w:pStyle w:val="Bullet1"/>
      </w:pPr>
      <w:r>
        <w:t>supervision.</w:t>
      </w:r>
    </w:p>
    <w:p w14:paraId="7FBF8964" w14:textId="77777777" w:rsidR="00066AA8" w:rsidRPr="008102F5" w:rsidRDefault="00066AA8" w:rsidP="00F830A5">
      <w:pPr>
        <w:pStyle w:val="Bodyafterbullets"/>
      </w:pPr>
      <w:r>
        <w:t>Our actions are to:</w:t>
      </w:r>
    </w:p>
    <w:p w14:paraId="7206D0BD" w14:textId="6BCF5266" w:rsidR="00066AA8" w:rsidRPr="00DD049E" w:rsidRDefault="00066AA8" w:rsidP="008102F5">
      <w:pPr>
        <w:pStyle w:val="Heading3"/>
      </w:pPr>
      <w:r w:rsidRPr="00DD049E">
        <w:t xml:space="preserve">Ensure </w:t>
      </w:r>
      <w:r w:rsidR="00AA2743" w:rsidRPr="00DD049E">
        <w:t xml:space="preserve">contemporary practice frameworks </w:t>
      </w:r>
      <w:r w:rsidR="00AA2743">
        <w:t xml:space="preserve">inform our </w:t>
      </w:r>
      <w:r w:rsidRPr="00DD049E">
        <w:t>mandatory programs</w:t>
      </w:r>
    </w:p>
    <w:p w14:paraId="0A82D5FA" w14:textId="06E3C23A" w:rsidR="00066AA8" w:rsidRDefault="00066AA8" w:rsidP="008102F5">
      <w:pPr>
        <w:pStyle w:val="Bullet1"/>
      </w:pPr>
      <w:r>
        <w:t>Deliver a new Child Protection Practice Induction Program</w:t>
      </w:r>
      <w:r w:rsidR="007D2C98">
        <w:t>.</w:t>
      </w:r>
    </w:p>
    <w:p w14:paraId="5857A046" w14:textId="77777777" w:rsidR="00066AA8" w:rsidRPr="00B25F0F" w:rsidRDefault="00066AA8" w:rsidP="008102F5">
      <w:pPr>
        <w:pStyle w:val="Bullet1"/>
      </w:pPr>
      <w:r w:rsidRPr="00C22D17">
        <w:t xml:space="preserve">Deliver </w:t>
      </w:r>
      <w:r>
        <w:t xml:space="preserve">Child Protection </w:t>
      </w:r>
      <w:r w:rsidRPr="00C22D17">
        <w:t xml:space="preserve">practice </w:t>
      </w:r>
      <w:r>
        <w:t>subjects from the curriculum framework</w:t>
      </w:r>
      <w:r w:rsidRPr="00C22D17">
        <w:t xml:space="preserve">. </w:t>
      </w:r>
    </w:p>
    <w:p w14:paraId="34AC9012" w14:textId="5FC8D03B" w:rsidR="00066AA8" w:rsidRDefault="00066AA8" w:rsidP="008102F5">
      <w:pPr>
        <w:pStyle w:val="Bullet1"/>
      </w:pPr>
      <w:r>
        <w:t>Deliver Housing learning programs that support contemporary social housing policy</w:t>
      </w:r>
      <w:r w:rsidR="007D2C98">
        <w:t>.</w:t>
      </w:r>
    </w:p>
    <w:p w14:paraId="5B1FD8EE" w14:textId="6A9EDE9E" w:rsidR="00066AA8" w:rsidRDefault="00066AA8" w:rsidP="008102F5">
      <w:pPr>
        <w:pStyle w:val="Bullet1"/>
      </w:pPr>
      <w:r>
        <w:t xml:space="preserve">Deliver Forensic Disability learning programs that </w:t>
      </w:r>
      <w:r w:rsidR="00F11AE5">
        <w:t>meet</w:t>
      </w:r>
      <w:r>
        <w:t xml:space="preserve"> NDIS accreditation and Victorian regulation</w:t>
      </w:r>
      <w:r w:rsidR="009850EB">
        <w:t>s</w:t>
      </w:r>
      <w:r>
        <w:t>.</w:t>
      </w:r>
    </w:p>
    <w:p w14:paraId="6FD20CDB" w14:textId="77777777" w:rsidR="00066AA8" w:rsidRDefault="00066AA8" w:rsidP="008102F5">
      <w:pPr>
        <w:pStyle w:val="Heading3"/>
      </w:pPr>
      <w:r>
        <w:t>Build learning culture through leadership, management and supervision uplift</w:t>
      </w:r>
    </w:p>
    <w:p w14:paraId="68442B10" w14:textId="095C4754" w:rsidR="00066AA8" w:rsidRPr="00DD049E" w:rsidRDefault="00066AA8" w:rsidP="008102F5">
      <w:pPr>
        <w:pStyle w:val="Bullet1"/>
      </w:pPr>
      <w:r w:rsidRPr="00DD049E">
        <w:t xml:space="preserve">Enhance </w:t>
      </w:r>
      <w:r w:rsidR="009850EB">
        <w:t xml:space="preserve">the </w:t>
      </w:r>
      <w:r w:rsidRPr="00DD049E">
        <w:t>supervision skills and reflective practice frontline supervisors</w:t>
      </w:r>
      <w:r w:rsidR="00E16F76">
        <w:t>’</w:t>
      </w:r>
      <w:r w:rsidR="009850EB">
        <w:t xml:space="preserve"> use</w:t>
      </w:r>
      <w:r w:rsidRPr="00DD049E">
        <w:t>.</w:t>
      </w:r>
    </w:p>
    <w:p w14:paraId="7ABE6DC8" w14:textId="76F589BC" w:rsidR="00066AA8" w:rsidRPr="00541D67" w:rsidRDefault="00066AA8" w:rsidP="00066AA8">
      <w:pPr>
        <w:pStyle w:val="Bullet1"/>
      </w:pPr>
      <w:r w:rsidRPr="00DD049E">
        <w:t xml:space="preserve">Partner with </w:t>
      </w:r>
      <w:r>
        <w:t>the 17 operational a</w:t>
      </w:r>
      <w:r w:rsidRPr="00DD049E">
        <w:t>reas</w:t>
      </w:r>
      <w:r>
        <w:t xml:space="preserve"> and </w:t>
      </w:r>
      <w:r w:rsidR="00FD3830">
        <w:t>s</w:t>
      </w:r>
      <w:r>
        <w:t xml:space="preserve">tatewide </w:t>
      </w:r>
      <w:r w:rsidR="00FD3830">
        <w:t>s</w:t>
      </w:r>
      <w:r>
        <w:t>ervices</w:t>
      </w:r>
      <w:r w:rsidRPr="00DD049E">
        <w:t xml:space="preserve"> to support local practice</w:t>
      </w:r>
      <w:r>
        <w:t xml:space="preserve"> leadership, resources and connections with the OPP</w:t>
      </w:r>
      <w:r w:rsidRPr="00F35070">
        <w:t xml:space="preserve">. </w:t>
      </w:r>
    </w:p>
    <w:p w14:paraId="05E7E199" w14:textId="77777777" w:rsidR="00387D06" w:rsidRDefault="00387D06">
      <w:pPr>
        <w:spacing w:after="0" w:line="240" w:lineRule="auto"/>
        <w:rPr>
          <w:b/>
          <w:color w:val="C63663"/>
          <w:sz w:val="32"/>
          <w:szCs w:val="28"/>
        </w:rPr>
      </w:pPr>
      <w:bookmarkStart w:id="37" w:name="_Toc169017935"/>
      <w:r>
        <w:rPr>
          <w:color w:val="C63663"/>
        </w:rPr>
        <w:br w:type="page"/>
      </w:r>
    </w:p>
    <w:p w14:paraId="76869AFF" w14:textId="77777777" w:rsidR="00066AA8" w:rsidRPr="0042367F" w:rsidRDefault="00066AA8" w:rsidP="00066AA8">
      <w:pPr>
        <w:pStyle w:val="Heading2"/>
        <w:rPr>
          <w:color w:val="C63663"/>
        </w:rPr>
      </w:pPr>
      <w:bookmarkStart w:id="38" w:name="_Toc170996549"/>
      <w:r w:rsidRPr="0042367F">
        <w:rPr>
          <w:color w:val="C63663"/>
        </w:rPr>
        <w:lastRenderedPageBreak/>
        <w:t>Partnering across government to inform policy, service design and workforce development with leading practice</w:t>
      </w:r>
      <w:bookmarkEnd w:id="37"/>
      <w:bookmarkEnd w:id="38"/>
    </w:p>
    <w:p w14:paraId="24F526E5" w14:textId="77777777" w:rsidR="00066AA8" w:rsidRDefault="00066AA8" w:rsidP="00731299">
      <w:pPr>
        <w:pStyle w:val="Body"/>
      </w:pPr>
      <w:r>
        <w:t>We</w:t>
      </w:r>
      <w:r w:rsidRPr="002727E3">
        <w:t xml:space="preserve"> </w:t>
      </w:r>
      <w:r>
        <w:t>represent the department and division in bring practice considerations to policy and strategic reform.</w:t>
      </w:r>
    </w:p>
    <w:p w14:paraId="6BE1D536" w14:textId="77777777" w:rsidR="00066AA8" w:rsidRPr="008102F5" w:rsidRDefault="00066AA8" w:rsidP="008102F5">
      <w:pPr>
        <w:pStyle w:val="Body"/>
      </w:pPr>
      <w:r>
        <w:t>Our actions are to:</w:t>
      </w:r>
    </w:p>
    <w:p w14:paraId="51BD7765" w14:textId="77777777" w:rsidR="00066AA8" w:rsidRPr="00DD049E" w:rsidRDefault="00066AA8" w:rsidP="008102F5">
      <w:pPr>
        <w:pStyle w:val="Heading3"/>
      </w:pPr>
      <w:r w:rsidRPr="00DD049E">
        <w:t>Contribut</w:t>
      </w:r>
      <w:r>
        <w:t>e</w:t>
      </w:r>
      <w:r w:rsidRPr="00DD049E">
        <w:t xml:space="preserve"> to priority practice reform areas</w:t>
      </w:r>
    </w:p>
    <w:p w14:paraId="6C9A446A" w14:textId="12A00B0D" w:rsidR="00066AA8" w:rsidRDefault="00066AA8" w:rsidP="008102F5">
      <w:pPr>
        <w:pStyle w:val="Bullet1"/>
      </w:pPr>
      <w:r>
        <w:t xml:space="preserve">Deliver key </w:t>
      </w:r>
      <w:r w:rsidR="00FD3830">
        <w:t>g</w:t>
      </w:r>
      <w:r>
        <w:t xml:space="preserve">overnment commitments </w:t>
      </w:r>
      <w:r w:rsidR="00F11AE5">
        <w:t xml:space="preserve">for </w:t>
      </w:r>
      <w:r>
        <w:t>Child Protection training in response to</w:t>
      </w:r>
      <w:r w:rsidR="009310EA">
        <w:t xml:space="preserve"> the</w:t>
      </w:r>
      <w:r>
        <w:t xml:space="preserve"> Yoorrook for Justice report. </w:t>
      </w:r>
    </w:p>
    <w:p w14:paraId="753F97D5" w14:textId="637223D9" w:rsidR="00066AA8" w:rsidRDefault="00066AA8" w:rsidP="008102F5">
      <w:pPr>
        <w:pStyle w:val="Bullet1"/>
      </w:pPr>
      <w:r>
        <w:t xml:space="preserve">Deliver practice advice and resources to </w:t>
      </w:r>
      <w:r w:rsidR="009310EA">
        <w:t xml:space="preserve">help </w:t>
      </w:r>
      <w:r w:rsidR="006E71FD">
        <w:t>embed</w:t>
      </w:r>
      <w:r>
        <w:t xml:space="preserve"> Statement of Recognition legislation.</w:t>
      </w:r>
    </w:p>
    <w:p w14:paraId="23B0B400" w14:textId="19A87164" w:rsidR="00066AA8" w:rsidRPr="00DD049E" w:rsidRDefault="00066AA8" w:rsidP="008102F5">
      <w:pPr>
        <w:pStyle w:val="Bullet1"/>
        <w:rPr>
          <w:rFonts w:eastAsia="Arial"/>
        </w:rPr>
      </w:pPr>
      <w:r w:rsidRPr="00DD049E">
        <w:rPr>
          <w:rFonts w:eastAsia="Arial"/>
        </w:rPr>
        <w:t xml:space="preserve">Engage </w:t>
      </w:r>
      <w:r>
        <w:rPr>
          <w:rFonts w:eastAsia="Arial"/>
        </w:rPr>
        <w:t>across government</w:t>
      </w:r>
      <w:r w:rsidRPr="00DD049E">
        <w:rPr>
          <w:rFonts w:eastAsia="Arial"/>
        </w:rPr>
        <w:t xml:space="preserve"> to address statewide practice requirements for common clients.</w:t>
      </w:r>
    </w:p>
    <w:p w14:paraId="4CF633F3" w14:textId="2949FBC8" w:rsidR="00066AA8" w:rsidRPr="00DD049E" w:rsidRDefault="00066AA8" w:rsidP="008102F5">
      <w:pPr>
        <w:pStyle w:val="Bullet1"/>
        <w:rPr>
          <w:rFonts w:eastAsia="Arial"/>
        </w:rPr>
      </w:pPr>
      <w:r w:rsidRPr="00DD049E">
        <w:rPr>
          <w:rFonts w:eastAsia="Arial"/>
        </w:rPr>
        <w:t>Contribute to a whole</w:t>
      </w:r>
      <w:r w:rsidR="00921EA4">
        <w:rPr>
          <w:rFonts w:eastAsia="Arial"/>
        </w:rPr>
        <w:t>-</w:t>
      </w:r>
      <w:r w:rsidRPr="00DD049E">
        <w:rPr>
          <w:rFonts w:eastAsia="Arial"/>
        </w:rPr>
        <w:t>of</w:t>
      </w:r>
      <w:r w:rsidR="00921EA4">
        <w:rPr>
          <w:rFonts w:eastAsia="Arial"/>
        </w:rPr>
        <w:t>-</w:t>
      </w:r>
      <w:r w:rsidRPr="00DD049E">
        <w:rPr>
          <w:rFonts w:eastAsia="Arial"/>
        </w:rPr>
        <w:t>government response to reduc</w:t>
      </w:r>
      <w:r w:rsidR="009310EA">
        <w:rPr>
          <w:rFonts w:eastAsia="Arial"/>
        </w:rPr>
        <w:t>ing</w:t>
      </w:r>
      <w:r w:rsidRPr="00DD049E">
        <w:rPr>
          <w:rFonts w:eastAsia="Arial"/>
        </w:rPr>
        <w:t xml:space="preserve"> and eliminati</w:t>
      </w:r>
      <w:r w:rsidR="009310EA">
        <w:rPr>
          <w:rFonts w:eastAsia="Arial"/>
        </w:rPr>
        <w:t>ng</w:t>
      </w:r>
      <w:r w:rsidRPr="00DD049E">
        <w:rPr>
          <w:rFonts w:eastAsia="Arial"/>
        </w:rPr>
        <w:t xml:space="preserve"> restrictive practices.</w:t>
      </w:r>
    </w:p>
    <w:p w14:paraId="734A002C" w14:textId="77777777" w:rsidR="00387D06" w:rsidRDefault="00387D06">
      <w:pPr>
        <w:spacing w:after="0" w:line="240" w:lineRule="auto"/>
        <w:rPr>
          <w:b/>
          <w:color w:val="201547"/>
          <w:sz w:val="32"/>
          <w:szCs w:val="28"/>
        </w:rPr>
      </w:pPr>
      <w:bookmarkStart w:id="39" w:name="_Toc136351653"/>
      <w:bookmarkStart w:id="40" w:name="_Toc136754386"/>
      <w:r>
        <w:br w:type="page"/>
      </w:r>
    </w:p>
    <w:p w14:paraId="62276CED" w14:textId="77777777" w:rsidR="00900619" w:rsidRPr="002C27E2" w:rsidRDefault="00900619" w:rsidP="00900619">
      <w:pPr>
        <w:pStyle w:val="Heading2"/>
      </w:pPr>
      <w:bookmarkStart w:id="41" w:name="_Toc170996550"/>
      <w:r>
        <w:lastRenderedPageBreak/>
        <w:t>Business as usual</w:t>
      </w:r>
      <w:bookmarkEnd w:id="41"/>
    </w:p>
    <w:p w14:paraId="1D8AA999" w14:textId="77777777" w:rsidR="00900619" w:rsidRDefault="00900619" w:rsidP="00900619">
      <w:pPr>
        <w:pStyle w:val="Body"/>
      </w:pPr>
      <w:r>
        <w:t xml:space="preserve">What you won’t see outlined are all our business-as-usual activities and deliverables. These are the standard functions we carry out within our operations. Our business as usual contributes to: </w:t>
      </w:r>
    </w:p>
    <w:p w14:paraId="6B9922D4" w14:textId="77777777" w:rsidR="00900619" w:rsidRDefault="00900619" w:rsidP="00900619">
      <w:pPr>
        <w:pStyle w:val="Bullet1"/>
      </w:pPr>
      <w:r>
        <w:t>our vision</w:t>
      </w:r>
    </w:p>
    <w:p w14:paraId="6CDA0D75" w14:textId="77777777" w:rsidR="00900619" w:rsidRDefault="00900619" w:rsidP="00900619">
      <w:pPr>
        <w:pStyle w:val="Bullet1"/>
      </w:pPr>
      <w:r>
        <w:t>the Community Operations and Practice Leadership plan</w:t>
      </w:r>
    </w:p>
    <w:p w14:paraId="044337D2" w14:textId="77777777" w:rsidR="00900619" w:rsidRDefault="00900619" w:rsidP="00900619">
      <w:pPr>
        <w:pStyle w:val="Bullet1"/>
      </w:pPr>
      <w:r>
        <w:t>the department’s overarching strategic plan.</w:t>
      </w:r>
    </w:p>
    <w:p w14:paraId="21C11F93" w14:textId="425B95A7" w:rsidR="00900619" w:rsidRDefault="00900619" w:rsidP="00900619">
      <w:pPr>
        <w:pStyle w:val="Bodyafterbullets"/>
      </w:pPr>
      <w:r>
        <w:t xml:space="preserve">Our priorities differ from </w:t>
      </w:r>
      <w:r w:rsidR="00DF6303">
        <w:t>business-as-usual</w:t>
      </w:r>
      <w:r>
        <w:t xml:space="preserve"> activities. Many of the actions and deliverables within the priorities are projects that introduce or reflect change.</w:t>
      </w:r>
    </w:p>
    <w:p w14:paraId="13D80AEA" w14:textId="133B0290" w:rsidR="00900619" w:rsidRDefault="00900619" w:rsidP="00731299">
      <w:pPr>
        <w:pStyle w:val="Body"/>
      </w:pPr>
      <w:r>
        <w:t>Continuing to deliver on our business as usual is as much a focus as delivering on our practice leadership priorities.</w:t>
      </w:r>
    </w:p>
    <w:p w14:paraId="3D249966" w14:textId="43970643" w:rsidR="00066AA8" w:rsidRDefault="00066AA8" w:rsidP="00731299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r>
        <w:br w:type="page"/>
      </w:r>
    </w:p>
    <w:p w14:paraId="401DAE01" w14:textId="77777777" w:rsidR="00066AA8" w:rsidRDefault="00066AA8" w:rsidP="00066AA8">
      <w:pPr>
        <w:pStyle w:val="Heading1"/>
      </w:pPr>
      <w:bookmarkStart w:id="42" w:name="_Toc169017936"/>
      <w:bookmarkStart w:id="43" w:name="_Toc170996551"/>
      <w:r>
        <w:lastRenderedPageBreak/>
        <w:t>Tracking our progress and impact</w:t>
      </w:r>
      <w:bookmarkEnd w:id="39"/>
      <w:bookmarkEnd w:id="40"/>
      <w:bookmarkEnd w:id="42"/>
      <w:bookmarkEnd w:id="43"/>
    </w:p>
    <w:p w14:paraId="4DA92EEF" w14:textId="77777777" w:rsidR="00066AA8" w:rsidRPr="00920F40" w:rsidRDefault="00066AA8" w:rsidP="00066AA8">
      <w:pPr>
        <w:pStyle w:val="Body"/>
      </w:pPr>
      <w:r>
        <w:t>We will:</w:t>
      </w:r>
    </w:p>
    <w:p w14:paraId="6E7A671B" w14:textId="77777777" w:rsidR="00066AA8" w:rsidRDefault="00066AA8" w:rsidP="00066AA8">
      <w:pPr>
        <w:pStyle w:val="Bullet1"/>
      </w:pPr>
      <w:r>
        <w:t>deliver this strategy, and business as usual activities, via our unit business plans</w:t>
      </w:r>
    </w:p>
    <w:p w14:paraId="68D2604E" w14:textId="372EF468" w:rsidR="00066AA8" w:rsidRDefault="00066AA8" w:rsidP="00066AA8">
      <w:pPr>
        <w:pStyle w:val="Bullet1"/>
      </w:pPr>
      <w:r>
        <w:t>review our progress and provide reports 3 times per year</w:t>
      </w:r>
      <w:r w:rsidR="009850EB">
        <w:rPr>
          <w:rStyle w:val="FootnoteReference"/>
        </w:rPr>
        <w:footnoteReference w:id="3"/>
      </w:r>
      <w:r>
        <w:t xml:space="preserve"> to the Secretary,</w:t>
      </w:r>
      <w:r w:rsidR="004E2227">
        <w:t xml:space="preserve"> the</w:t>
      </w:r>
      <w:r>
        <w:t xml:space="preserve"> Deputy Secretary </w:t>
      </w:r>
      <w:r w:rsidR="00BD42B9">
        <w:t xml:space="preserve">Community Operations and Practice Leadership </w:t>
      </w:r>
      <w:r>
        <w:t xml:space="preserve">and </w:t>
      </w:r>
      <w:r w:rsidR="00DC2A0A">
        <w:t xml:space="preserve">OPP </w:t>
      </w:r>
      <w:r>
        <w:t>Executive Group</w:t>
      </w:r>
    </w:p>
    <w:p w14:paraId="56D509EB" w14:textId="2EDF918A" w:rsidR="00FB1F6E" w:rsidRDefault="00066AA8">
      <w:pPr>
        <w:pStyle w:val="Bullet1"/>
      </w:pPr>
      <w:r>
        <w:t>provide a full report to the department’s Executive Directions Board each year (May) on our progress and impact</w:t>
      </w:r>
      <w:r w:rsidR="0062667A">
        <w:t>. This will include</w:t>
      </w:r>
      <w:r>
        <w:t xml:space="preserve"> any adjustments we need to make to our focus and approach for the year ahead.</w:t>
      </w:r>
      <w:bookmarkEnd w:id="5"/>
      <w:bookmarkEnd w:id="6"/>
    </w:p>
    <w:sectPr w:rsidR="00FB1F6E" w:rsidSect="00F15144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203C" w14:textId="77777777" w:rsidR="002437F6" w:rsidRDefault="002437F6">
      <w:r>
        <w:separator/>
      </w:r>
    </w:p>
    <w:p w14:paraId="7EFD6679" w14:textId="77777777" w:rsidR="002437F6" w:rsidRDefault="002437F6"/>
  </w:endnote>
  <w:endnote w:type="continuationSeparator" w:id="0">
    <w:p w14:paraId="78CB19F7" w14:textId="77777777" w:rsidR="002437F6" w:rsidRDefault="002437F6">
      <w:r>
        <w:continuationSeparator/>
      </w:r>
    </w:p>
    <w:p w14:paraId="22B00B39" w14:textId="77777777" w:rsidR="002437F6" w:rsidRDefault="002437F6"/>
  </w:endnote>
  <w:endnote w:type="continuationNotice" w:id="1">
    <w:p w14:paraId="057BE18A" w14:textId="77777777" w:rsidR="002437F6" w:rsidRDefault="00243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A8D0" w14:textId="7E347BBB" w:rsidR="00431A70" w:rsidRDefault="001C7128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BCE929" wp14:editId="7CB17B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da5461fada7660fda7e16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C5D7E" w14:textId="292E2C3E" w:rsidR="001C7128" w:rsidRPr="001C7128" w:rsidRDefault="001C7128" w:rsidP="001C71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C71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E929" id="_x0000_t202" coordsize="21600,21600" o:spt="202" path="m,l,21600r21600,l21600,xe">
              <v:stroke joinstyle="miter"/>
              <v:path gradientshapeok="t" o:connecttype="rect"/>
            </v:shapetype>
            <v:shape id="MSIPCMcda5461fada7660fda7e169a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8EC5D7E" w14:textId="292E2C3E" w:rsidR="001C7128" w:rsidRPr="001C7128" w:rsidRDefault="001C7128" w:rsidP="001C712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C71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A32EAB" wp14:editId="2F53ADC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32EAB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4918659" w14:textId="5CB96CC1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AE53" w14:textId="77777777" w:rsidR="002437F6" w:rsidRDefault="002437F6" w:rsidP="00207717">
      <w:pPr>
        <w:spacing w:before="120"/>
      </w:pPr>
      <w:r>
        <w:separator/>
      </w:r>
    </w:p>
  </w:footnote>
  <w:footnote w:type="continuationSeparator" w:id="0">
    <w:p w14:paraId="78EF991E" w14:textId="77777777" w:rsidR="002437F6" w:rsidRDefault="002437F6">
      <w:r>
        <w:continuationSeparator/>
      </w:r>
    </w:p>
    <w:p w14:paraId="1AD20A5D" w14:textId="77777777" w:rsidR="002437F6" w:rsidRDefault="002437F6"/>
  </w:footnote>
  <w:footnote w:type="continuationNotice" w:id="1">
    <w:p w14:paraId="7F44A15E" w14:textId="77777777" w:rsidR="002437F6" w:rsidRDefault="002437F6">
      <w:pPr>
        <w:spacing w:after="0" w:line="240" w:lineRule="auto"/>
      </w:pPr>
    </w:p>
  </w:footnote>
  <w:footnote w:id="2">
    <w:p w14:paraId="6D9B2621" w14:textId="65FBEF32" w:rsidR="00066AA8" w:rsidRDefault="00066AA8" w:rsidP="00066AA8">
      <w:pPr>
        <w:pStyle w:val="FootnoteText"/>
      </w:pPr>
      <w:r>
        <w:rPr>
          <w:rStyle w:val="FootnoteReference"/>
        </w:rPr>
        <w:footnoteRef/>
      </w:r>
      <w:r>
        <w:t xml:space="preserve"> D</w:t>
      </w:r>
      <w:r w:rsidR="00FD3830">
        <w:t>epartment of Families, Fairness and Housing 20</w:t>
      </w:r>
      <w:r w:rsidR="00125E19">
        <w:t>2</w:t>
      </w:r>
      <w:r w:rsidR="00FD3830">
        <w:t>2</w:t>
      </w:r>
      <w:r>
        <w:t xml:space="preserve">, </w:t>
      </w:r>
      <w:r>
        <w:rPr>
          <w:i/>
          <w:iCs/>
        </w:rPr>
        <w:t>Final Management Structure: Evolve Program for the Department of Families, Fairness and Housing</w:t>
      </w:r>
      <w:r>
        <w:t>, p 8.</w:t>
      </w:r>
    </w:p>
  </w:footnote>
  <w:footnote w:id="3">
    <w:p w14:paraId="2D46FF36" w14:textId="396BB93B" w:rsidR="009850EB" w:rsidRDefault="009850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667A">
        <w:t xml:space="preserve">In </w:t>
      </w:r>
      <w:r>
        <w:t>October/November, January/February and June.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DF21" w14:textId="77777777" w:rsidR="00482537" w:rsidRDefault="00482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A9E6" w14:textId="77777777" w:rsidR="00482537" w:rsidRDefault="00482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2C4A" w14:textId="77777777" w:rsidR="00482537" w:rsidRDefault="004825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A3E9" w14:textId="25FC7C62" w:rsidR="00562811" w:rsidRPr="001C7128" w:rsidRDefault="00AC515E" w:rsidP="001C7128">
    <w:pPr>
      <w:pStyle w:val="Header"/>
    </w:pPr>
    <w:r w:rsidRPr="00AC515E">
      <w:t>Office of Professional Practice strategic plan July 2024 – June 2025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9D040EF8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9A78C0"/>
    <w:multiLevelType w:val="multilevel"/>
    <w:tmpl w:val="C8760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31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8858160">
    <w:abstractNumId w:val="10"/>
  </w:num>
  <w:num w:numId="2" w16cid:durableId="1300573520">
    <w:abstractNumId w:val="17"/>
  </w:num>
  <w:num w:numId="3" w16cid:durableId="600144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1793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8790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5098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754823">
    <w:abstractNumId w:val="21"/>
  </w:num>
  <w:num w:numId="8" w16cid:durableId="611859343">
    <w:abstractNumId w:val="16"/>
  </w:num>
  <w:num w:numId="9" w16cid:durableId="384375768">
    <w:abstractNumId w:val="20"/>
  </w:num>
  <w:num w:numId="10" w16cid:durableId="17919750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186483">
    <w:abstractNumId w:val="23"/>
  </w:num>
  <w:num w:numId="12" w16cid:durableId="15176912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344712">
    <w:abstractNumId w:val="18"/>
  </w:num>
  <w:num w:numId="14" w16cid:durableId="7680899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16634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63643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19012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8196742">
    <w:abstractNumId w:val="25"/>
  </w:num>
  <w:num w:numId="19" w16cid:durableId="4460050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3875211">
    <w:abstractNumId w:val="14"/>
  </w:num>
  <w:num w:numId="21" w16cid:durableId="214048770">
    <w:abstractNumId w:val="12"/>
  </w:num>
  <w:num w:numId="22" w16cid:durableId="12215539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0851196">
    <w:abstractNumId w:val="15"/>
  </w:num>
  <w:num w:numId="24" w16cid:durableId="321667815">
    <w:abstractNumId w:val="26"/>
  </w:num>
  <w:num w:numId="25" w16cid:durableId="1905943385">
    <w:abstractNumId w:val="24"/>
  </w:num>
  <w:num w:numId="26" w16cid:durableId="2003698413">
    <w:abstractNumId w:val="19"/>
  </w:num>
  <w:num w:numId="27" w16cid:durableId="2067071881">
    <w:abstractNumId w:val="11"/>
  </w:num>
  <w:num w:numId="28" w16cid:durableId="1830125388">
    <w:abstractNumId w:val="27"/>
  </w:num>
  <w:num w:numId="29" w16cid:durableId="970021049">
    <w:abstractNumId w:val="9"/>
  </w:num>
  <w:num w:numId="30" w16cid:durableId="526872817">
    <w:abstractNumId w:val="7"/>
  </w:num>
  <w:num w:numId="31" w16cid:durableId="2122263046">
    <w:abstractNumId w:val="6"/>
  </w:num>
  <w:num w:numId="32" w16cid:durableId="1928004123">
    <w:abstractNumId w:val="5"/>
  </w:num>
  <w:num w:numId="33" w16cid:durableId="947616739">
    <w:abstractNumId w:val="4"/>
  </w:num>
  <w:num w:numId="34" w16cid:durableId="1363483308">
    <w:abstractNumId w:val="8"/>
  </w:num>
  <w:num w:numId="35" w16cid:durableId="1641688462">
    <w:abstractNumId w:val="3"/>
  </w:num>
  <w:num w:numId="36" w16cid:durableId="890966073">
    <w:abstractNumId w:val="2"/>
  </w:num>
  <w:num w:numId="37" w16cid:durableId="1625692631">
    <w:abstractNumId w:val="1"/>
  </w:num>
  <w:num w:numId="38" w16cid:durableId="1206142189">
    <w:abstractNumId w:val="0"/>
  </w:num>
  <w:num w:numId="39" w16cid:durableId="10979490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889205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3B1"/>
    <w:rsid w:val="000029DA"/>
    <w:rsid w:val="00002D68"/>
    <w:rsid w:val="000033F7"/>
    <w:rsid w:val="00003403"/>
    <w:rsid w:val="00005347"/>
    <w:rsid w:val="000072B6"/>
    <w:rsid w:val="0001021B"/>
    <w:rsid w:val="00011D89"/>
    <w:rsid w:val="000154FD"/>
    <w:rsid w:val="00020678"/>
    <w:rsid w:val="00022271"/>
    <w:rsid w:val="000235E8"/>
    <w:rsid w:val="00024D89"/>
    <w:rsid w:val="000250B6"/>
    <w:rsid w:val="00027B8C"/>
    <w:rsid w:val="00033D81"/>
    <w:rsid w:val="00033DC9"/>
    <w:rsid w:val="00037366"/>
    <w:rsid w:val="000415C3"/>
    <w:rsid w:val="00041BF0"/>
    <w:rsid w:val="00042C8A"/>
    <w:rsid w:val="0004536B"/>
    <w:rsid w:val="00045880"/>
    <w:rsid w:val="00046B68"/>
    <w:rsid w:val="000527DD"/>
    <w:rsid w:val="00056EC4"/>
    <w:rsid w:val="000578B2"/>
    <w:rsid w:val="00060959"/>
    <w:rsid w:val="00060C8F"/>
    <w:rsid w:val="0006298A"/>
    <w:rsid w:val="00065973"/>
    <w:rsid w:val="00065EEE"/>
    <w:rsid w:val="000663CD"/>
    <w:rsid w:val="00066AA8"/>
    <w:rsid w:val="000702C4"/>
    <w:rsid w:val="000733FE"/>
    <w:rsid w:val="00074219"/>
    <w:rsid w:val="00074ED5"/>
    <w:rsid w:val="0008170F"/>
    <w:rsid w:val="0008204A"/>
    <w:rsid w:val="0008508E"/>
    <w:rsid w:val="00085FE1"/>
    <w:rsid w:val="00087951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B134E"/>
    <w:rsid w:val="000B25F4"/>
    <w:rsid w:val="000B3EDB"/>
    <w:rsid w:val="000B543D"/>
    <w:rsid w:val="000B55F9"/>
    <w:rsid w:val="000B5BF7"/>
    <w:rsid w:val="000B6BC8"/>
    <w:rsid w:val="000C0303"/>
    <w:rsid w:val="000C42CF"/>
    <w:rsid w:val="000C42EA"/>
    <w:rsid w:val="000C4546"/>
    <w:rsid w:val="000C6FB5"/>
    <w:rsid w:val="000D02EC"/>
    <w:rsid w:val="000D06C0"/>
    <w:rsid w:val="000D080F"/>
    <w:rsid w:val="000D1242"/>
    <w:rsid w:val="000D2ABA"/>
    <w:rsid w:val="000E0970"/>
    <w:rsid w:val="000E09FE"/>
    <w:rsid w:val="000E3CC7"/>
    <w:rsid w:val="000E6BD4"/>
    <w:rsid w:val="000E6D6D"/>
    <w:rsid w:val="000E7A58"/>
    <w:rsid w:val="000F15F1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07D9D"/>
    <w:rsid w:val="00110CE8"/>
    <w:rsid w:val="001120C5"/>
    <w:rsid w:val="00114F6D"/>
    <w:rsid w:val="00115ACD"/>
    <w:rsid w:val="00120BD3"/>
    <w:rsid w:val="00122FEA"/>
    <w:rsid w:val="001232BD"/>
    <w:rsid w:val="00124ED5"/>
    <w:rsid w:val="00125E19"/>
    <w:rsid w:val="001276FA"/>
    <w:rsid w:val="001313FB"/>
    <w:rsid w:val="001350DD"/>
    <w:rsid w:val="00143E8D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142"/>
    <w:rsid w:val="001708A9"/>
    <w:rsid w:val="001712C2"/>
    <w:rsid w:val="00172BAF"/>
    <w:rsid w:val="00172ED0"/>
    <w:rsid w:val="0017674D"/>
    <w:rsid w:val="001771DD"/>
    <w:rsid w:val="00177995"/>
    <w:rsid w:val="00177A8C"/>
    <w:rsid w:val="0018244E"/>
    <w:rsid w:val="00183338"/>
    <w:rsid w:val="00183356"/>
    <w:rsid w:val="00184F23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FDC"/>
    <w:rsid w:val="001A6272"/>
    <w:rsid w:val="001B058F"/>
    <w:rsid w:val="001B6249"/>
    <w:rsid w:val="001B6B96"/>
    <w:rsid w:val="001B738B"/>
    <w:rsid w:val="001C09DB"/>
    <w:rsid w:val="001C277E"/>
    <w:rsid w:val="001C2A72"/>
    <w:rsid w:val="001C31B7"/>
    <w:rsid w:val="001C3885"/>
    <w:rsid w:val="001C7128"/>
    <w:rsid w:val="001D0B75"/>
    <w:rsid w:val="001D39A5"/>
    <w:rsid w:val="001D3C09"/>
    <w:rsid w:val="001D44E8"/>
    <w:rsid w:val="001D5B14"/>
    <w:rsid w:val="001D60EC"/>
    <w:rsid w:val="001D6F59"/>
    <w:rsid w:val="001E44DF"/>
    <w:rsid w:val="001E68A5"/>
    <w:rsid w:val="001E6BB0"/>
    <w:rsid w:val="001E7282"/>
    <w:rsid w:val="001E7CE9"/>
    <w:rsid w:val="001F3826"/>
    <w:rsid w:val="001F68A1"/>
    <w:rsid w:val="001F6E46"/>
    <w:rsid w:val="001F7C91"/>
    <w:rsid w:val="002033B7"/>
    <w:rsid w:val="00205E8C"/>
    <w:rsid w:val="00206463"/>
    <w:rsid w:val="00206F2F"/>
    <w:rsid w:val="00207717"/>
    <w:rsid w:val="0021053D"/>
    <w:rsid w:val="00210A92"/>
    <w:rsid w:val="00212B95"/>
    <w:rsid w:val="00215CC8"/>
    <w:rsid w:val="00216C03"/>
    <w:rsid w:val="002171F1"/>
    <w:rsid w:val="00220A1A"/>
    <w:rsid w:val="00220C04"/>
    <w:rsid w:val="0022278D"/>
    <w:rsid w:val="00224699"/>
    <w:rsid w:val="0022701F"/>
    <w:rsid w:val="002273C3"/>
    <w:rsid w:val="00227C68"/>
    <w:rsid w:val="00230584"/>
    <w:rsid w:val="002333F5"/>
    <w:rsid w:val="00233724"/>
    <w:rsid w:val="002365B4"/>
    <w:rsid w:val="002432E1"/>
    <w:rsid w:val="002437F6"/>
    <w:rsid w:val="00246207"/>
    <w:rsid w:val="00246C5E"/>
    <w:rsid w:val="002479A9"/>
    <w:rsid w:val="00250960"/>
    <w:rsid w:val="00251343"/>
    <w:rsid w:val="002536A4"/>
    <w:rsid w:val="00253A3E"/>
    <w:rsid w:val="00254F58"/>
    <w:rsid w:val="002560A0"/>
    <w:rsid w:val="002600BD"/>
    <w:rsid w:val="002620BC"/>
    <w:rsid w:val="00262802"/>
    <w:rsid w:val="00263A90"/>
    <w:rsid w:val="0026408B"/>
    <w:rsid w:val="0026480C"/>
    <w:rsid w:val="00267C3E"/>
    <w:rsid w:val="002709BB"/>
    <w:rsid w:val="0027131C"/>
    <w:rsid w:val="00273BAC"/>
    <w:rsid w:val="00275AB8"/>
    <w:rsid w:val="002763B3"/>
    <w:rsid w:val="002767BE"/>
    <w:rsid w:val="002802E3"/>
    <w:rsid w:val="0028213D"/>
    <w:rsid w:val="002829E7"/>
    <w:rsid w:val="00282A7F"/>
    <w:rsid w:val="002862F1"/>
    <w:rsid w:val="00291373"/>
    <w:rsid w:val="0029597D"/>
    <w:rsid w:val="00295C37"/>
    <w:rsid w:val="002962C3"/>
    <w:rsid w:val="0029752B"/>
    <w:rsid w:val="002A0A9C"/>
    <w:rsid w:val="002A483C"/>
    <w:rsid w:val="002B0C7C"/>
    <w:rsid w:val="002B1729"/>
    <w:rsid w:val="002B1C94"/>
    <w:rsid w:val="002B36C7"/>
    <w:rsid w:val="002B455F"/>
    <w:rsid w:val="002B458A"/>
    <w:rsid w:val="002B4DD4"/>
    <w:rsid w:val="002B5277"/>
    <w:rsid w:val="002B5375"/>
    <w:rsid w:val="002B77C1"/>
    <w:rsid w:val="002C0ED7"/>
    <w:rsid w:val="002C0FDC"/>
    <w:rsid w:val="002C250E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6C95"/>
    <w:rsid w:val="002E7C36"/>
    <w:rsid w:val="002F1439"/>
    <w:rsid w:val="002F3D32"/>
    <w:rsid w:val="002F5F31"/>
    <w:rsid w:val="002F5F46"/>
    <w:rsid w:val="00302216"/>
    <w:rsid w:val="00303E53"/>
    <w:rsid w:val="00305CC1"/>
    <w:rsid w:val="003064AF"/>
    <w:rsid w:val="00306E5F"/>
    <w:rsid w:val="00307E14"/>
    <w:rsid w:val="00314054"/>
    <w:rsid w:val="00316F27"/>
    <w:rsid w:val="00317624"/>
    <w:rsid w:val="003214F1"/>
    <w:rsid w:val="00322E4B"/>
    <w:rsid w:val="00327870"/>
    <w:rsid w:val="00331F3A"/>
    <w:rsid w:val="0033259D"/>
    <w:rsid w:val="003333D2"/>
    <w:rsid w:val="00334686"/>
    <w:rsid w:val="00337339"/>
    <w:rsid w:val="003374E1"/>
    <w:rsid w:val="00340345"/>
    <w:rsid w:val="003406C6"/>
    <w:rsid w:val="003418CC"/>
    <w:rsid w:val="003434EE"/>
    <w:rsid w:val="0034558C"/>
    <w:rsid w:val="003459BD"/>
    <w:rsid w:val="00350D38"/>
    <w:rsid w:val="00351B36"/>
    <w:rsid w:val="003550DD"/>
    <w:rsid w:val="00357B4E"/>
    <w:rsid w:val="003716FD"/>
    <w:rsid w:val="0037204B"/>
    <w:rsid w:val="003744CF"/>
    <w:rsid w:val="00374717"/>
    <w:rsid w:val="003752A2"/>
    <w:rsid w:val="0037676C"/>
    <w:rsid w:val="00377070"/>
    <w:rsid w:val="00377AF2"/>
    <w:rsid w:val="00381043"/>
    <w:rsid w:val="003811A2"/>
    <w:rsid w:val="003829E5"/>
    <w:rsid w:val="0038438A"/>
    <w:rsid w:val="00386109"/>
    <w:rsid w:val="00386944"/>
    <w:rsid w:val="00387D06"/>
    <w:rsid w:val="003956CC"/>
    <w:rsid w:val="00395C9A"/>
    <w:rsid w:val="003A0853"/>
    <w:rsid w:val="003A10C4"/>
    <w:rsid w:val="003A5B6E"/>
    <w:rsid w:val="003A66BB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5630"/>
    <w:rsid w:val="003C7897"/>
    <w:rsid w:val="003C7A3F"/>
    <w:rsid w:val="003D2766"/>
    <w:rsid w:val="003D2A74"/>
    <w:rsid w:val="003D3D88"/>
    <w:rsid w:val="003D3E8F"/>
    <w:rsid w:val="003D5743"/>
    <w:rsid w:val="003D6475"/>
    <w:rsid w:val="003D6EE6"/>
    <w:rsid w:val="003E375C"/>
    <w:rsid w:val="003E3E64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67C"/>
    <w:rsid w:val="003F5CB9"/>
    <w:rsid w:val="003F77B9"/>
    <w:rsid w:val="004013C7"/>
    <w:rsid w:val="00401FCF"/>
    <w:rsid w:val="00406285"/>
    <w:rsid w:val="004115A2"/>
    <w:rsid w:val="004148F9"/>
    <w:rsid w:val="00417BF4"/>
    <w:rsid w:val="0042084E"/>
    <w:rsid w:val="00421EEF"/>
    <w:rsid w:val="00422D98"/>
    <w:rsid w:val="0042367F"/>
    <w:rsid w:val="00424D65"/>
    <w:rsid w:val="0042526D"/>
    <w:rsid w:val="00430393"/>
    <w:rsid w:val="00430F19"/>
    <w:rsid w:val="00431806"/>
    <w:rsid w:val="00431A70"/>
    <w:rsid w:val="00431F42"/>
    <w:rsid w:val="00434B0E"/>
    <w:rsid w:val="00442C6C"/>
    <w:rsid w:val="00443CBE"/>
    <w:rsid w:val="00443E8A"/>
    <w:rsid w:val="004441BC"/>
    <w:rsid w:val="004468B4"/>
    <w:rsid w:val="00446D86"/>
    <w:rsid w:val="00450205"/>
    <w:rsid w:val="0045230A"/>
    <w:rsid w:val="004548D2"/>
    <w:rsid w:val="00454AD0"/>
    <w:rsid w:val="00457337"/>
    <w:rsid w:val="00462E3D"/>
    <w:rsid w:val="004653B8"/>
    <w:rsid w:val="00466E79"/>
    <w:rsid w:val="00467398"/>
    <w:rsid w:val="00470D7D"/>
    <w:rsid w:val="00472C98"/>
    <w:rsid w:val="0047372D"/>
    <w:rsid w:val="00473BA3"/>
    <w:rsid w:val="004743DD"/>
    <w:rsid w:val="00474CEA"/>
    <w:rsid w:val="00482537"/>
    <w:rsid w:val="00483968"/>
    <w:rsid w:val="004841BE"/>
    <w:rsid w:val="00484F86"/>
    <w:rsid w:val="00487FC4"/>
    <w:rsid w:val="00490746"/>
    <w:rsid w:val="00490852"/>
    <w:rsid w:val="00491C9C"/>
    <w:rsid w:val="00491CC0"/>
    <w:rsid w:val="00491D54"/>
    <w:rsid w:val="00492F30"/>
    <w:rsid w:val="004946F4"/>
    <w:rsid w:val="0049487E"/>
    <w:rsid w:val="0049539D"/>
    <w:rsid w:val="004A160D"/>
    <w:rsid w:val="004A3554"/>
    <w:rsid w:val="004A3E81"/>
    <w:rsid w:val="004A4195"/>
    <w:rsid w:val="004A5C62"/>
    <w:rsid w:val="004A5CE5"/>
    <w:rsid w:val="004A707D"/>
    <w:rsid w:val="004B0974"/>
    <w:rsid w:val="004B4185"/>
    <w:rsid w:val="004C014B"/>
    <w:rsid w:val="004C3835"/>
    <w:rsid w:val="004C5541"/>
    <w:rsid w:val="004C6EEE"/>
    <w:rsid w:val="004C702B"/>
    <w:rsid w:val="004D0033"/>
    <w:rsid w:val="004D016B"/>
    <w:rsid w:val="004D1B22"/>
    <w:rsid w:val="004D23CC"/>
    <w:rsid w:val="004D36F2"/>
    <w:rsid w:val="004E03D8"/>
    <w:rsid w:val="004E1106"/>
    <w:rsid w:val="004E138F"/>
    <w:rsid w:val="004E2227"/>
    <w:rsid w:val="004E4649"/>
    <w:rsid w:val="004E5A8C"/>
    <w:rsid w:val="004E5C2B"/>
    <w:rsid w:val="004F00DD"/>
    <w:rsid w:val="004F2133"/>
    <w:rsid w:val="004F5398"/>
    <w:rsid w:val="004F55F1"/>
    <w:rsid w:val="004F67EB"/>
    <w:rsid w:val="004F6936"/>
    <w:rsid w:val="00500C77"/>
    <w:rsid w:val="00502499"/>
    <w:rsid w:val="00503DC6"/>
    <w:rsid w:val="00506F5D"/>
    <w:rsid w:val="00507D54"/>
    <w:rsid w:val="00510C37"/>
    <w:rsid w:val="005126D0"/>
    <w:rsid w:val="00514667"/>
    <w:rsid w:val="00514A34"/>
    <w:rsid w:val="0051568D"/>
    <w:rsid w:val="00522CE4"/>
    <w:rsid w:val="00526AC7"/>
    <w:rsid w:val="00526C15"/>
    <w:rsid w:val="00532F17"/>
    <w:rsid w:val="00536499"/>
    <w:rsid w:val="00537DB7"/>
    <w:rsid w:val="00542A03"/>
    <w:rsid w:val="00543903"/>
    <w:rsid w:val="00543BCC"/>
    <w:rsid w:val="00543F11"/>
    <w:rsid w:val="00546305"/>
    <w:rsid w:val="00547A95"/>
    <w:rsid w:val="0055119B"/>
    <w:rsid w:val="00553DDF"/>
    <w:rsid w:val="00561202"/>
    <w:rsid w:val="00561735"/>
    <w:rsid w:val="00562507"/>
    <w:rsid w:val="00562811"/>
    <w:rsid w:val="00562B71"/>
    <w:rsid w:val="00563782"/>
    <w:rsid w:val="00572031"/>
    <w:rsid w:val="00572282"/>
    <w:rsid w:val="00573CE3"/>
    <w:rsid w:val="00576E84"/>
    <w:rsid w:val="00580394"/>
    <w:rsid w:val="005809CD"/>
    <w:rsid w:val="00582B8C"/>
    <w:rsid w:val="005867F2"/>
    <w:rsid w:val="0058757E"/>
    <w:rsid w:val="00594CFC"/>
    <w:rsid w:val="0059681A"/>
    <w:rsid w:val="00596A4B"/>
    <w:rsid w:val="00597507"/>
    <w:rsid w:val="005A0E70"/>
    <w:rsid w:val="005A479D"/>
    <w:rsid w:val="005A6580"/>
    <w:rsid w:val="005A71B8"/>
    <w:rsid w:val="005B1C6D"/>
    <w:rsid w:val="005B21B6"/>
    <w:rsid w:val="005B3A08"/>
    <w:rsid w:val="005B6AB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A72"/>
    <w:rsid w:val="005E26A3"/>
    <w:rsid w:val="005E2ECB"/>
    <w:rsid w:val="005E447E"/>
    <w:rsid w:val="005E4FD1"/>
    <w:rsid w:val="005E623B"/>
    <w:rsid w:val="005F0775"/>
    <w:rsid w:val="005F0CF5"/>
    <w:rsid w:val="005F21EB"/>
    <w:rsid w:val="005F64CF"/>
    <w:rsid w:val="0060173D"/>
    <w:rsid w:val="006041AD"/>
    <w:rsid w:val="006052F5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667A"/>
    <w:rsid w:val="00627DA7"/>
    <w:rsid w:val="00630DA4"/>
    <w:rsid w:val="00631CD4"/>
    <w:rsid w:val="00632597"/>
    <w:rsid w:val="0063316F"/>
    <w:rsid w:val="00633F59"/>
    <w:rsid w:val="00634D13"/>
    <w:rsid w:val="006358B4"/>
    <w:rsid w:val="00636F28"/>
    <w:rsid w:val="00640DFB"/>
    <w:rsid w:val="00641724"/>
    <w:rsid w:val="006419AA"/>
    <w:rsid w:val="00644B1F"/>
    <w:rsid w:val="00644B7E"/>
    <w:rsid w:val="00645128"/>
    <w:rsid w:val="006454E6"/>
    <w:rsid w:val="006459A3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2A7E"/>
    <w:rsid w:val="0066302A"/>
    <w:rsid w:val="00664018"/>
    <w:rsid w:val="00667770"/>
    <w:rsid w:val="00670597"/>
    <w:rsid w:val="006706D0"/>
    <w:rsid w:val="00671BBE"/>
    <w:rsid w:val="00676735"/>
    <w:rsid w:val="00677574"/>
    <w:rsid w:val="006812ED"/>
    <w:rsid w:val="006829E0"/>
    <w:rsid w:val="00683878"/>
    <w:rsid w:val="00684380"/>
    <w:rsid w:val="0068454C"/>
    <w:rsid w:val="00685E0C"/>
    <w:rsid w:val="00691B62"/>
    <w:rsid w:val="006933B5"/>
    <w:rsid w:val="00693546"/>
    <w:rsid w:val="00693D14"/>
    <w:rsid w:val="006962D5"/>
    <w:rsid w:val="00696F27"/>
    <w:rsid w:val="006A18C2"/>
    <w:rsid w:val="006A2717"/>
    <w:rsid w:val="006A3383"/>
    <w:rsid w:val="006A3896"/>
    <w:rsid w:val="006B077C"/>
    <w:rsid w:val="006B0C81"/>
    <w:rsid w:val="006B6803"/>
    <w:rsid w:val="006D0F16"/>
    <w:rsid w:val="006D2A3F"/>
    <w:rsid w:val="006D2FBC"/>
    <w:rsid w:val="006D3EF9"/>
    <w:rsid w:val="006D410B"/>
    <w:rsid w:val="006D4DAD"/>
    <w:rsid w:val="006D6E34"/>
    <w:rsid w:val="006E138B"/>
    <w:rsid w:val="006E1867"/>
    <w:rsid w:val="006E6604"/>
    <w:rsid w:val="006E71FD"/>
    <w:rsid w:val="006F0330"/>
    <w:rsid w:val="006F1FDC"/>
    <w:rsid w:val="006F2F39"/>
    <w:rsid w:val="006F6B76"/>
    <w:rsid w:val="006F6B8C"/>
    <w:rsid w:val="007013EF"/>
    <w:rsid w:val="0070313A"/>
    <w:rsid w:val="00703331"/>
    <w:rsid w:val="007055BD"/>
    <w:rsid w:val="0070781E"/>
    <w:rsid w:val="00713AAF"/>
    <w:rsid w:val="007173CA"/>
    <w:rsid w:val="007216AA"/>
    <w:rsid w:val="007219D8"/>
    <w:rsid w:val="00721AB5"/>
    <w:rsid w:val="00721CFB"/>
    <w:rsid w:val="00721DEF"/>
    <w:rsid w:val="00724A43"/>
    <w:rsid w:val="007273AC"/>
    <w:rsid w:val="00730CCA"/>
    <w:rsid w:val="00731299"/>
    <w:rsid w:val="00731AD4"/>
    <w:rsid w:val="007346E4"/>
    <w:rsid w:val="00735564"/>
    <w:rsid w:val="00740F22"/>
    <w:rsid w:val="00741CF0"/>
    <w:rsid w:val="00741F1A"/>
    <w:rsid w:val="00742CD3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657D1"/>
    <w:rsid w:val="00770F37"/>
    <w:rsid w:val="007711A0"/>
    <w:rsid w:val="007722A4"/>
    <w:rsid w:val="00772D5E"/>
    <w:rsid w:val="0077463E"/>
    <w:rsid w:val="00776928"/>
    <w:rsid w:val="00776D56"/>
    <w:rsid w:val="00776E0F"/>
    <w:rsid w:val="007774B1"/>
    <w:rsid w:val="00777B5B"/>
    <w:rsid w:val="00777BE1"/>
    <w:rsid w:val="00782222"/>
    <w:rsid w:val="007833D8"/>
    <w:rsid w:val="00785677"/>
    <w:rsid w:val="00786F16"/>
    <w:rsid w:val="00791BD7"/>
    <w:rsid w:val="007933F7"/>
    <w:rsid w:val="007957D3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87B"/>
    <w:rsid w:val="007C0883"/>
    <w:rsid w:val="007C1838"/>
    <w:rsid w:val="007C20B9"/>
    <w:rsid w:val="007C459A"/>
    <w:rsid w:val="007C7301"/>
    <w:rsid w:val="007C7859"/>
    <w:rsid w:val="007C7F28"/>
    <w:rsid w:val="007D1145"/>
    <w:rsid w:val="007D1466"/>
    <w:rsid w:val="007D2BDE"/>
    <w:rsid w:val="007D2C98"/>
    <w:rsid w:val="007D2D73"/>
    <w:rsid w:val="007D2FB6"/>
    <w:rsid w:val="007D4417"/>
    <w:rsid w:val="007D49EB"/>
    <w:rsid w:val="007D4BA1"/>
    <w:rsid w:val="007D5E1C"/>
    <w:rsid w:val="007E0DE2"/>
    <w:rsid w:val="007E3667"/>
    <w:rsid w:val="007E3B98"/>
    <w:rsid w:val="007E417A"/>
    <w:rsid w:val="007F15E5"/>
    <w:rsid w:val="007F280D"/>
    <w:rsid w:val="007F31B6"/>
    <w:rsid w:val="007F546C"/>
    <w:rsid w:val="007F625F"/>
    <w:rsid w:val="007F665E"/>
    <w:rsid w:val="00800412"/>
    <w:rsid w:val="0080587B"/>
    <w:rsid w:val="00806468"/>
    <w:rsid w:val="008102F5"/>
    <w:rsid w:val="008119CA"/>
    <w:rsid w:val="008128BD"/>
    <w:rsid w:val="008130C4"/>
    <w:rsid w:val="008155F0"/>
    <w:rsid w:val="00816735"/>
    <w:rsid w:val="00816760"/>
    <w:rsid w:val="00820141"/>
    <w:rsid w:val="00820A28"/>
    <w:rsid w:val="00820E0C"/>
    <w:rsid w:val="00823275"/>
    <w:rsid w:val="0082366F"/>
    <w:rsid w:val="00826600"/>
    <w:rsid w:val="00831B47"/>
    <w:rsid w:val="008338A2"/>
    <w:rsid w:val="00841AA9"/>
    <w:rsid w:val="008474FE"/>
    <w:rsid w:val="00853EE4"/>
    <w:rsid w:val="00855535"/>
    <w:rsid w:val="00857C5A"/>
    <w:rsid w:val="0086255E"/>
    <w:rsid w:val="008633F0"/>
    <w:rsid w:val="00863B7C"/>
    <w:rsid w:val="008664B1"/>
    <w:rsid w:val="00867D9D"/>
    <w:rsid w:val="00872E0A"/>
    <w:rsid w:val="00873594"/>
    <w:rsid w:val="0087385F"/>
    <w:rsid w:val="00875285"/>
    <w:rsid w:val="00877635"/>
    <w:rsid w:val="008807CD"/>
    <w:rsid w:val="00884B62"/>
    <w:rsid w:val="0088529C"/>
    <w:rsid w:val="00887903"/>
    <w:rsid w:val="0089270A"/>
    <w:rsid w:val="0089366A"/>
    <w:rsid w:val="00893AF6"/>
    <w:rsid w:val="008943DA"/>
    <w:rsid w:val="00894BC4"/>
    <w:rsid w:val="00895925"/>
    <w:rsid w:val="00896890"/>
    <w:rsid w:val="008A28A8"/>
    <w:rsid w:val="008A5B32"/>
    <w:rsid w:val="008B2029"/>
    <w:rsid w:val="008B2EE4"/>
    <w:rsid w:val="008B3040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807"/>
    <w:rsid w:val="008E7A0A"/>
    <w:rsid w:val="008E7B49"/>
    <w:rsid w:val="008F1C47"/>
    <w:rsid w:val="008F59F6"/>
    <w:rsid w:val="00900619"/>
    <w:rsid w:val="00900719"/>
    <w:rsid w:val="009017AC"/>
    <w:rsid w:val="00902A9A"/>
    <w:rsid w:val="00904A1C"/>
    <w:rsid w:val="00905030"/>
    <w:rsid w:val="00906490"/>
    <w:rsid w:val="009111B2"/>
    <w:rsid w:val="009151F5"/>
    <w:rsid w:val="00921EA4"/>
    <w:rsid w:val="00924AE1"/>
    <w:rsid w:val="00924B57"/>
    <w:rsid w:val="009269B1"/>
    <w:rsid w:val="0092724D"/>
    <w:rsid w:val="009272B3"/>
    <w:rsid w:val="009310EA"/>
    <w:rsid w:val="009315BE"/>
    <w:rsid w:val="009326DD"/>
    <w:rsid w:val="00932F27"/>
    <w:rsid w:val="0093338F"/>
    <w:rsid w:val="00937BD9"/>
    <w:rsid w:val="0094536F"/>
    <w:rsid w:val="00950E2C"/>
    <w:rsid w:val="00951D50"/>
    <w:rsid w:val="009525EB"/>
    <w:rsid w:val="0095470B"/>
    <w:rsid w:val="00954874"/>
    <w:rsid w:val="0095615A"/>
    <w:rsid w:val="00961400"/>
    <w:rsid w:val="00963646"/>
    <w:rsid w:val="0096506F"/>
    <w:rsid w:val="0096632D"/>
    <w:rsid w:val="00967124"/>
    <w:rsid w:val="0097166C"/>
    <w:rsid w:val="009718C7"/>
    <w:rsid w:val="0097559F"/>
    <w:rsid w:val="009761EA"/>
    <w:rsid w:val="0097761E"/>
    <w:rsid w:val="0098135A"/>
    <w:rsid w:val="00982454"/>
    <w:rsid w:val="00982CF0"/>
    <w:rsid w:val="009850EB"/>
    <w:rsid w:val="009853E1"/>
    <w:rsid w:val="00985D12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059"/>
    <w:rsid w:val="009B05FD"/>
    <w:rsid w:val="009B0A6F"/>
    <w:rsid w:val="009B0A94"/>
    <w:rsid w:val="009B0C62"/>
    <w:rsid w:val="009B2AE8"/>
    <w:rsid w:val="009B53C8"/>
    <w:rsid w:val="009B5622"/>
    <w:rsid w:val="009B59E9"/>
    <w:rsid w:val="009B70AA"/>
    <w:rsid w:val="009C245E"/>
    <w:rsid w:val="009C3CF1"/>
    <w:rsid w:val="009C5E77"/>
    <w:rsid w:val="009C7A7E"/>
    <w:rsid w:val="009D02E8"/>
    <w:rsid w:val="009D328F"/>
    <w:rsid w:val="009D51D0"/>
    <w:rsid w:val="009D5B4E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93F"/>
    <w:rsid w:val="009F2F27"/>
    <w:rsid w:val="009F34AA"/>
    <w:rsid w:val="009F6BCB"/>
    <w:rsid w:val="009F7B78"/>
    <w:rsid w:val="00A0054A"/>
    <w:rsid w:val="00A0057A"/>
    <w:rsid w:val="00A01FB1"/>
    <w:rsid w:val="00A02FA1"/>
    <w:rsid w:val="00A04CCE"/>
    <w:rsid w:val="00A07421"/>
    <w:rsid w:val="00A0776B"/>
    <w:rsid w:val="00A10FB9"/>
    <w:rsid w:val="00A11421"/>
    <w:rsid w:val="00A1389F"/>
    <w:rsid w:val="00A157B1"/>
    <w:rsid w:val="00A16033"/>
    <w:rsid w:val="00A22229"/>
    <w:rsid w:val="00A22351"/>
    <w:rsid w:val="00A24442"/>
    <w:rsid w:val="00A24ADA"/>
    <w:rsid w:val="00A257A9"/>
    <w:rsid w:val="00A30C0D"/>
    <w:rsid w:val="00A31871"/>
    <w:rsid w:val="00A32577"/>
    <w:rsid w:val="00A330BB"/>
    <w:rsid w:val="00A41345"/>
    <w:rsid w:val="00A41C03"/>
    <w:rsid w:val="00A43524"/>
    <w:rsid w:val="00A446F5"/>
    <w:rsid w:val="00A44882"/>
    <w:rsid w:val="00A45125"/>
    <w:rsid w:val="00A54715"/>
    <w:rsid w:val="00A55C0D"/>
    <w:rsid w:val="00A55D68"/>
    <w:rsid w:val="00A6061C"/>
    <w:rsid w:val="00A62D44"/>
    <w:rsid w:val="00A67263"/>
    <w:rsid w:val="00A7161C"/>
    <w:rsid w:val="00A71CE4"/>
    <w:rsid w:val="00A77AA3"/>
    <w:rsid w:val="00A8236D"/>
    <w:rsid w:val="00A83F13"/>
    <w:rsid w:val="00A854EB"/>
    <w:rsid w:val="00A872E5"/>
    <w:rsid w:val="00A91406"/>
    <w:rsid w:val="00A96E65"/>
    <w:rsid w:val="00A96ECE"/>
    <w:rsid w:val="00A97C72"/>
    <w:rsid w:val="00AA0FA0"/>
    <w:rsid w:val="00AA2743"/>
    <w:rsid w:val="00AA310B"/>
    <w:rsid w:val="00AA63D4"/>
    <w:rsid w:val="00AA72AA"/>
    <w:rsid w:val="00AB06E8"/>
    <w:rsid w:val="00AB1CD3"/>
    <w:rsid w:val="00AB29E9"/>
    <w:rsid w:val="00AB352F"/>
    <w:rsid w:val="00AB5F36"/>
    <w:rsid w:val="00AC274B"/>
    <w:rsid w:val="00AC4358"/>
    <w:rsid w:val="00AC4764"/>
    <w:rsid w:val="00AC515E"/>
    <w:rsid w:val="00AC5C92"/>
    <w:rsid w:val="00AC6771"/>
    <w:rsid w:val="00AC6D36"/>
    <w:rsid w:val="00AD0CBA"/>
    <w:rsid w:val="00AD26E2"/>
    <w:rsid w:val="00AD6EBD"/>
    <w:rsid w:val="00AD784C"/>
    <w:rsid w:val="00AE126A"/>
    <w:rsid w:val="00AE1BAE"/>
    <w:rsid w:val="00AE3005"/>
    <w:rsid w:val="00AE3BD5"/>
    <w:rsid w:val="00AE59A0"/>
    <w:rsid w:val="00AE637F"/>
    <w:rsid w:val="00AE7DAA"/>
    <w:rsid w:val="00AF0C57"/>
    <w:rsid w:val="00AF1A6B"/>
    <w:rsid w:val="00AF26F3"/>
    <w:rsid w:val="00AF5F04"/>
    <w:rsid w:val="00B00672"/>
    <w:rsid w:val="00B00AC3"/>
    <w:rsid w:val="00B01B4D"/>
    <w:rsid w:val="00B01D10"/>
    <w:rsid w:val="00B04489"/>
    <w:rsid w:val="00B061E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6E4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6D93"/>
    <w:rsid w:val="00B47339"/>
    <w:rsid w:val="00B47EDC"/>
    <w:rsid w:val="00B519CD"/>
    <w:rsid w:val="00B51A7B"/>
    <w:rsid w:val="00B52118"/>
    <w:rsid w:val="00B5273A"/>
    <w:rsid w:val="00B57329"/>
    <w:rsid w:val="00B60E61"/>
    <w:rsid w:val="00B62B50"/>
    <w:rsid w:val="00B635B7"/>
    <w:rsid w:val="00B63AE8"/>
    <w:rsid w:val="00B65950"/>
    <w:rsid w:val="00B660D1"/>
    <w:rsid w:val="00B668F0"/>
    <w:rsid w:val="00B66D83"/>
    <w:rsid w:val="00B672C0"/>
    <w:rsid w:val="00B676FD"/>
    <w:rsid w:val="00B678B6"/>
    <w:rsid w:val="00B75646"/>
    <w:rsid w:val="00B7629E"/>
    <w:rsid w:val="00B84750"/>
    <w:rsid w:val="00B87405"/>
    <w:rsid w:val="00B877A8"/>
    <w:rsid w:val="00B90729"/>
    <w:rsid w:val="00B907DA"/>
    <w:rsid w:val="00B92CD9"/>
    <w:rsid w:val="00B94C5E"/>
    <w:rsid w:val="00B950BC"/>
    <w:rsid w:val="00B9714C"/>
    <w:rsid w:val="00BA2958"/>
    <w:rsid w:val="00BA29AD"/>
    <w:rsid w:val="00BA2E93"/>
    <w:rsid w:val="00BA33CF"/>
    <w:rsid w:val="00BA3F8D"/>
    <w:rsid w:val="00BA4950"/>
    <w:rsid w:val="00BA4AB1"/>
    <w:rsid w:val="00BB7A10"/>
    <w:rsid w:val="00BC2868"/>
    <w:rsid w:val="00BC60BE"/>
    <w:rsid w:val="00BC7468"/>
    <w:rsid w:val="00BC7D4F"/>
    <w:rsid w:val="00BC7ED7"/>
    <w:rsid w:val="00BD2850"/>
    <w:rsid w:val="00BD42B9"/>
    <w:rsid w:val="00BD6C0F"/>
    <w:rsid w:val="00BE28D2"/>
    <w:rsid w:val="00BE3D37"/>
    <w:rsid w:val="00BE4A64"/>
    <w:rsid w:val="00BE5E43"/>
    <w:rsid w:val="00BE6928"/>
    <w:rsid w:val="00BF557D"/>
    <w:rsid w:val="00BF658D"/>
    <w:rsid w:val="00BF7F58"/>
    <w:rsid w:val="00C01381"/>
    <w:rsid w:val="00C01AB1"/>
    <w:rsid w:val="00C026A0"/>
    <w:rsid w:val="00C05492"/>
    <w:rsid w:val="00C06137"/>
    <w:rsid w:val="00C06929"/>
    <w:rsid w:val="00C079B8"/>
    <w:rsid w:val="00C10037"/>
    <w:rsid w:val="00C115E1"/>
    <w:rsid w:val="00C123EA"/>
    <w:rsid w:val="00C12A49"/>
    <w:rsid w:val="00C12B05"/>
    <w:rsid w:val="00C133EE"/>
    <w:rsid w:val="00C149D0"/>
    <w:rsid w:val="00C15D95"/>
    <w:rsid w:val="00C26588"/>
    <w:rsid w:val="00C26C0D"/>
    <w:rsid w:val="00C27DE9"/>
    <w:rsid w:val="00C32989"/>
    <w:rsid w:val="00C33388"/>
    <w:rsid w:val="00C35484"/>
    <w:rsid w:val="00C40035"/>
    <w:rsid w:val="00C402D2"/>
    <w:rsid w:val="00C4173A"/>
    <w:rsid w:val="00C50DED"/>
    <w:rsid w:val="00C52217"/>
    <w:rsid w:val="00C52A43"/>
    <w:rsid w:val="00C602FF"/>
    <w:rsid w:val="00C60411"/>
    <w:rsid w:val="00C61174"/>
    <w:rsid w:val="00C6148F"/>
    <w:rsid w:val="00C621B1"/>
    <w:rsid w:val="00C62F7A"/>
    <w:rsid w:val="00C63B9C"/>
    <w:rsid w:val="00C65EA3"/>
    <w:rsid w:val="00C6682F"/>
    <w:rsid w:val="00C67BF4"/>
    <w:rsid w:val="00C7275E"/>
    <w:rsid w:val="00C731AF"/>
    <w:rsid w:val="00C74C5D"/>
    <w:rsid w:val="00C863C4"/>
    <w:rsid w:val="00C874EE"/>
    <w:rsid w:val="00C90DAB"/>
    <w:rsid w:val="00C920EA"/>
    <w:rsid w:val="00C93C3E"/>
    <w:rsid w:val="00CA12E3"/>
    <w:rsid w:val="00CA1476"/>
    <w:rsid w:val="00CA3701"/>
    <w:rsid w:val="00CA6611"/>
    <w:rsid w:val="00CA66DC"/>
    <w:rsid w:val="00CA6AE6"/>
    <w:rsid w:val="00CA720A"/>
    <w:rsid w:val="00CA782F"/>
    <w:rsid w:val="00CB0A98"/>
    <w:rsid w:val="00CB187B"/>
    <w:rsid w:val="00CB2835"/>
    <w:rsid w:val="00CB3285"/>
    <w:rsid w:val="00CB4500"/>
    <w:rsid w:val="00CB5EA8"/>
    <w:rsid w:val="00CB63A6"/>
    <w:rsid w:val="00CC0C72"/>
    <w:rsid w:val="00CC2937"/>
    <w:rsid w:val="00CC2BFD"/>
    <w:rsid w:val="00CC4364"/>
    <w:rsid w:val="00CC6F40"/>
    <w:rsid w:val="00CD3476"/>
    <w:rsid w:val="00CD40A7"/>
    <w:rsid w:val="00CD545F"/>
    <w:rsid w:val="00CD64DF"/>
    <w:rsid w:val="00CD768F"/>
    <w:rsid w:val="00CD7A6C"/>
    <w:rsid w:val="00CE225F"/>
    <w:rsid w:val="00CF230C"/>
    <w:rsid w:val="00CF2591"/>
    <w:rsid w:val="00CF2F50"/>
    <w:rsid w:val="00CF6198"/>
    <w:rsid w:val="00D023AD"/>
    <w:rsid w:val="00D02919"/>
    <w:rsid w:val="00D04C61"/>
    <w:rsid w:val="00D04E0A"/>
    <w:rsid w:val="00D05B8D"/>
    <w:rsid w:val="00D05B9B"/>
    <w:rsid w:val="00D065A2"/>
    <w:rsid w:val="00D06B8A"/>
    <w:rsid w:val="00D079AA"/>
    <w:rsid w:val="00D07F00"/>
    <w:rsid w:val="00D1130F"/>
    <w:rsid w:val="00D1571F"/>
    <w:rsid w:val="00D17B72"/>
    <w:rsid w:val="00D24BDF"/>
    <w:rsid w:val="00D3185C"/>
    <w:rsid w:val="00D3205F"/>
    <w:rsid w:val="00D3318E"/>
    <w:rsid w:val="00D33E72"/>
    <w:rsid w:val="00D35BD6"/>
    <w:rsid w:val="00D361B5"/>
    <w:rsid w:val="00D36390"/>
    <w:rsid w:val="00D411A2"/>
    <w:rsid w:val="00D4606D"/>
    <w:rsid w:val="00D50B9C"/>
    <w:rsid w:val="00D513AF"/>
    <w:rsid w:val="00D52D73"/>
    <w:rsid w:val="00D52E58"/>
    <w:rsid w:val="00D56B20"/>
    <w:rsid w:val="00D578B3"/>
    <w:rsid w:val="00D60932"/>
    <w:rsid w:val="00D618F4"/>
    <w:rsid w:val="00D63636"/>
    <w:rsid w:val="00D640AD"/>
    <w:rsid w:val="00D675FE"/>
    <w:rsid w:val="00D714CC"/>
    <w:rsid w:val="00D75EA7"/>
    <w:rsid w:val="00D77252"/>
    <w:rsid w:val="00D81901"/>
    <w:rsid w:val="00D81ADF"/>
    <w:rsid w:val="00D81F21"/>
    <w:rsid w:val="00D83D06"/>
    <w:rsid w:val="00D864F2"/>
    <w:rsid w:val="00D90680"/>
    <w:rsid w:val="00D943F8"/>
    <w:rsid w:val="00D95470"/>
    <w:rsid w:val="00D961F4"/>
    <w:rsid w:val="00D96B55"/>
    <w:rsid w:val="00DA00C4"/>
    <w:rsid w:val="00DA2307"/>
    <w:rsid w:val="00DA2619"/>
    <w:rsid w:val="00DA4239"/>
    <w:rsid w:val="00DA588C"/>
    <w:rsid w:val="00DA65DE"/>
    <w:rsid w:val="00DB0B61"/>
    <w:rsid w:val="00DB1474"/>
    <w:rsid w:val="00DB1DFA"/>
    <w:rsid w:val="00DB2962"/>
    <w:rsid w:val="00DB3771"/>
    <w:rsid w:val="00DB52FB"/>
    <w:rsid w:val="00DC00C1"/>
    <w:rsid w:val="00DC013B"/>
    <w:rsid w:val="00DC090B"/>
    <w:rsid w:val="00DC1679"/>
    <w:rsid w:val="00DC219B"/>
    <w:rsid w:val="00DC2A0A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197"/>
    <w:rsid w:val="00DE2D04"/>
    <w:rsid w:val="00DE3250"/>
    <w:rsid w:val="00DE333A"/>
    <w:rsid w:val="00DE6028"/>
    <w:rsid w:val="00DE6C85"/>
    <w:rsid w:val="00DE724E"/>
    <w:rsid w:val="00DE78A3"/>
    <w:rsid w:val="00DF1A71"/>
    <w:rsid w:val="00DF50FC"/>
    <w:rsid w:val="00DF6303"/>
    <w:rsid w:val="00DF68C7"/>
    <w:rsid w:val="00DF731A"/>
    <w:rsid w:val="00E04BBB"/>
    <w:rsid w:val="00E06B75"/>
    <w:rsid w:val="00E07A89"/>
    <w:rsid w:val="00E11332"/>
    <w:rsid w:val="00E11352"/>
    <w:rsid w:val="00E13242"/>
    <w:rsid w:val="00E16F76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12BD"/>
    <w:rsid w:val="00E44AEB"/>
    <w:rsid w:val="00E52BE3"/>
    <w:rsid w:val="00E5330D"/>
    <w:rsid w:val="00E54950"/>
    <w:rsid w:val="00E55FB3"/>
    <w:rsid w:val="00E56A01"/>
    <w:rsid w:val="00E629A1"/>
    <w:rsid w:val="00E6794C"/>
    <w:rsid w:val="00E71591"/>
    <w:rsid w:val="00E71CEB"/>
    <w:rsid w:val="00E729B6"/>
    <w:rsid w:val="00E7474F"/>
    <w:rsid w:val="00E80DE3"/>
    <w:rsid w:val="00E82C55"/>
    <w:rsid w:val="00E83B0B"/>
    <w:rsid w:val="00E86055"/>
    <w:rsid w:val="00E8787E"/>
    <w:rsid w:val="00E92AC3"/>
    <w:rsid w:val="00E92BA0"/>
    <w:rsid w:val="00EA2F6A"/>
    <w:rsid w:val="00EA3116"/>
    <w:rsid w:val="00EB00E0"/>
    <w:rsid w:val="00EB05D5"/>
    <w:rsid w:val="00EB4BC7"/>
    <w:rsid w:val="00EC059F"/>
    <w:rsid w:val="00EC1F24"/>
    <w:rsid w:val="00EC22F6"/>
    <w:rsid w:val="00EC3DB9"/>
    <w:rsid w:val="00ED48B8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460"/>
    <w:rsid w:val="00EE4D5D"/>
    <w:rsid w:val="00EE5131"/>
    <w:rsid w:val="00EE783C"/>
    <w:rsid w:val="00EF02DA"/>
    <w:rsid w:val="00EF109B"/>
    <w:rsid w:val="00EF201C"/>
    <w:rsid w:val="00EF2C72"/>
    <w:rsid w:val="00EF36AF"/>
    <w:rsid w:val="00EF5208"/>
    <w:rsid w:val="00EF59A3"/>
    <w:rsid w:val="00EF6675"/>
    <w:rsid w:val="00F0063D"/>
    <w:rsid w:val="00F00F9C"/>
    <w:rsid w:val="00F00FC8"/>
    <w:rsid w:val="00F01B47"/>
    <w:rsid w:val="00F01E5F"/>
    <w:rsid w:val="00F024F3"/>
    <w:rsid w:val="00F02ABA"/>
    <w:rsid w:val="00F0437A"/>
    <w:rsid w:val="00F072F7"/>
    <w:rsid w:val="00F101B8"/>
    <w:rsid w:val="00F10AF4"/>
    <w:rsid w:val="00F11037"/>
    <w:rsid w:val="00F11AE5"/>
    <w:rsid w:val="00F15144"/>
    <w:rsid w:val="00F16F1B"/>
    <w:rsid w:val="00F250A9"/>
    <w:rsid w:val="00F267AF"/>
    <w:rsid w:val="00F30FF4"/>
    <w:rsid w:val="00F3122E"/>
    <w:rsid w:val="00F32368"/>
    <w:rsid w:val="00F331AD"/>
    <w:rsid w:val="00F35287"/>
    <w:rsid w:val="00F3674F"/>
    <w:rsid w:val="00F3702A"/>
    <w:rsid w:val="00F40A70"/>
    <w:rsid w:val="00F40DD7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35F"/>
    <w:rsid w:val="00F65AA9"/>
    <w:rsid w:val="00F6768F"/>
    <w:rsid w:val="00F72C2C"/>
    <w:rsid w:val="00F741F2"/>
    <w:rsid w:val="00F76CAB"/>
    <w:rsid w:val="00F772C6"/>
    <w:rsid w:val="00F815B5"/>
    <w:rsid w:val="00F830A5"/>
    <w:rsid w:val="00F85195"/>
    <w:rsid w:val="00F857D4"/>
    <w:rsid w:val="00F868E3"/>
    <w:rsid w:val="00F938BA"/>
    <w:rsid w:val="00F97919"/>
    <w:rsid w:val="00FA230B"/>
    <w:rsid w:val="00FA2C46"/>
    <w:rsid w:val="00FA3525"/>
    <w:rsid w:val="00FA5639"/>
    <w:rsid w:val="00FA5A53"/>
    <w:rsid w:val="00FA7DA6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7E0"/>
    <w:rsid w:val="00FD12D1"/>
    <w:rsid w:val="00FD3766"/>
    <w:rsid w:val="00FD3830"/>
    <w:rsid w:val="00FD3D05"/>
    <w:rsid w:val="00FD47C4"/>
    <w:rsid w:val="00FD66D9"/>
    <w:rsid w:val="00FE2DCF"/>
    <w:rsid w:val="00FE331E"/>
    <w:rsid w:val="00FE3438"/>
    <w:rsid w:val="00FE3FA7"/>
    <w:rsid w:val="00FE4081"/>
    <w:rsid w:val="00FF2A4E"/>
    <w:rsid w:val="00FF2FCE"/>
    <w:rsid w:val="00FF4F7D"/>
    <w:rsid w:val="00FF5B92"/>
    <w:rsid w:val="00FF6D9D"/>
    <w:rsid w:val="00FF7620"/>
    <w:rsid w:val="00FF7DD5"/>
    <w:rsid w:val="0BD8B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1318DC18-C150-4E05-8ECD-A2D358E0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F15144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066AA8"/>
  </w:style>
  <w:style w:type="character" w:styleId="Mention">
    <w:name w:val="Mention"/>
    <w:basedOn w:val="DefaultParagraphFont"/>
    <w:uiPriority w:val="99"/>
    <w:unhideWhenUsed/>
    <w:rsid w:val="007C087B"/>
    <w:rPr>
      <w:color w:val="2B579A"/>
      <w:shd w:val="clear" w:color="auto" w:fill="E1DFDD"/>
    </w:rPr>
  </w:style>
  <w:style w:type="paragraph" w:customStyle="1" w:styleId="heading1noTOC">
    <w:name w:val="heading 1 no TOC"/>
    <w:basedOn w:val="Heading1"/>
    <w:uiPriority w:val="11"/>
    <w:rsid w:val="00D06B8A"/>
  </w:style>
  <w:style w:type="paragraph" w:styleId="NormalWeb">
    <w:name w:val="Normal (Web)"/>
    <w:basedOn w:val="Normal"/>
    <w:uiPriority w:val="99"/>
    <w:semiHidden/>
    <w:unhideWhenUsed/>
    <w:rsid w:val="00C26C0D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oppdirectorate@dffh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publications/office-professional-practice-strategic-plan-2024-20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E8669-8B5A-4C93-8DB3-F8DEB1BA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Professional Practice strategic plan July 2024 – June 2025</vt:lpstr>
    </vt:vector>
  </TitlesOfParts>
  <Manager/>
  <Company>Victoria State Government, Department of Families, Fairness and Housing</Company>
  <LinksUpToDate>false</LinksUpToDate>
  <CharactersWithSpaces>19115</CharactersWithSpaces>
  <SharedDoc>false</SharedDoc>
  <HyperlinkBase/>
  <HLinks>
    <vt:vector size="132" baseType="variant"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_Toc170996551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_Toc170996550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_Toc170996549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_Toc170996548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_Toc170996547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_Toc170996546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_Toc170996545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_Toc170996544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_Toc170996543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_Toc170996542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_Toc170996541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_Toc170996540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_Toc170996539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_Toc170996538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_Toc170996537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_Toc170996536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_Toc170996535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_Toc170996534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_Toc170996533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_Toc170996532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_Toc170996531</vt:lpwstr>
      </vt:variant>
      <vt:variant>
        <vt:i4>2621454</vt:i4>
      </vt:variant>
      <vt:variant>
        <vt:i4>3</vt:i4>
      </vt:variant>
      <vt:variant>
        <vt:i4>0</vt:i4>
      </vt:variant>
      <vt:variant>
        <vt:i4>5</vt:i4>
      </vt:variant>
      <vt:variant>
        <vt:lpwstr>mailto:oppdirectorate@dffh.vic.gov.au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Professional Practice strategic plan July 2024 – June 2025</dc:title>
  <dc:subject>Office of Professional Practice strategic plan July 2024 – June 2025</dc:subject>
  <dc:creator>Office of Professional Practice</dc:creator>
  <cp:keywords>Office of Professional Practice, OPP, strategic plan, July 2024 – June 2025</cp:keywords>
  <dc:description/>
  <cp:revision>3</cp:revision>
  <cp:lastPrinted>2021-01-30T00:27:00Z</cp:lastPrinted>
  <dcterms:created xsi:type="dcterms:W3CDTF">2024-07-19T05:36:00Z</dcterms:created>
  <dcterms:modified xsi:type="dcterms:W3CDTF">2024-07-19T05:37:00Z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2022v1 15032022 SBV1 18122023</vt:lpwstr>
  </property>
  <property fmtid="{D5CDD505-2E9C-101B-9397-08002B2CF9AE}" pid="4" name="MediaServiceImageTags">
    <vt:lpwstr/>
  </property>
  <property fmtid="{D5CDD505-2E9C-101B-9397-08002B2CF9AE}" pid="5" name="GrammarlyDocumentId">
    <vt:lpwstr>f3cb5f0e09020dcb87720c9f1381d123127c6f7194fcbafb9c45268ae37be0c3</vt:lpwstr>
  </property>
  <property fmtid="{D5CDD505-2E9C-101B-9397-08002B2CF9AE}" pid="6" name="ContentTypeId">
    <vt:lpwstr>0x0101009F0C4347C5C6D34BA8C9FCC4F57D19B6</vt:lpwstr>
  </property>
  <property fmtid="{D5CDD505-2E9C-101B-9397-08002B2CF9AE}" pid="7" name="lcf76f155ced4ddcb4097134ff3c332f">
    <vt:lpwstr/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SetDate">
    <vt:lpwstr>2024-07-19T05:37:20Z</vt:lpwstr>
  </property>
  <property fmtid="{D5CDD505-2E9C-101B-9397-08002B2CF9AE}" pid="10" name="MSIP_Label_43e64453-338c-4f93-8a4d-0039a0a41f2a_Method">
    <vt:lpwstr>Privileged</vt:lpwstr>
  </property>
  <property fmtid="{D5CDD505-2E9C-101B-9397-08002B2CF9AE}" pid="11" name="MSIP_Label_43e64453-338c-4f93-8a4d-0039a0a41f2a_Name">
    <vt:lpwstr>43e64453-338c-4f93-8a4d-0039a0a41f2a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MSIP_Label_43e64453-338c-4f93-8a4d-0039a0a41f2a_ActionId">
    <vt:lpwstr>f196b547-af74-411c-b5db-d49df9e7d7e5</vt:lpwstr>
  </property>
  <property fmtid="{D5CDD505-2E9C-101B-9397-08002B2CF9AE}" pid="14" name="MSIP_Label_43e64453-338c-4f93-8a4d-0039a0a41f2a_ContentBits">
    <vt:lpwstr>2</vt:lpwstr>
  </property>
</Properties>
</file>