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tbl>
      <w:tblPr>
        <w:tblStyle w:val="TableGrid"/>
        <w:tblpPr w:leftFromText="180" w:rightFromText="180" w:vertAnchor="text" w:horzAnchor="margin" w:tblpY="-213"/>
        <w:tblOverlap w:val="never"/>
        <w:tblW w:w="76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7650"/>
      </w:tblGrid>
      <w:tr w:rsidR="005F7FF8" w:rsidTr="005F7FF8" w14:paraId="115F497D" w14:textId="77777777">
        <w:trPr>
          <w:trHeight w:val="1132"/>
        </w:trPr>
        <w:tc>
          <w:tcPr>
            <w:tcW w:w="7650" w:type="dxa"/>
          </w:tcPr>
          <w:p w:rsidRPr="00DF6C67" w:rsidR="005F7FF8" w:rsidP="005F7FF8" w:rsidRDefault="005F7FF8" w14:paraId="12ACFC7F" w14:textId="77777777">
            <w:pPr>
              <w:pStyle w:val="Body"/>
              <w:rPr>
                <w:b/>
                <w:sz w:val="40"/>
                <w:szCs w:val="40"/>
              </w:rPr>
            </w:pPr>
            <w:bookmarkStart w:name="_Toc446125342" w:id="0"/>
            <w:bookmarkStart w:name="_Toc150787015" w:id="1"/>
            <w:bookmarkStart w:name="_Toc150855693" w:id="2"/>
            <w:bookmarkStart w:name="_Toc150868583" w:id="3"/>
            <w:bookmarkStart w:name="_Toc150868638" w:id="4"/>
            <w:bookmarkStart w:name="_Toc151042659" w:id="5"/>
            <w:bookmarkStart w:name="_Toc151042860" w:id="6"/>
            <w:bookmarkStart w:name="_Toc156480337" w:id="7"/>
            <w:bookmarkStart w:name="_Toc156484505" w:id="8"/>
            <w:bookmarkStart w:name="_Toc156487317" w:id="9"/>
            <w:bookmarkStart w:name="_Toc162353834" w:id="10"/>
            <w:bookmarkEnd w:id="0"/>
            <w:r w:rsidRPr="00DF6C67">
              <w:rPr>
                <w:b/>
                <w:bCs/>
                <w:color w:val="201547"/>
                <w:sz w:val="40"/>
                <w:szCs w:val="40"/>
              </w:rPr>
              <w:t xml:space="preserve">Overview of changes to </w:t>
            </w:r>
            <w:bookmarkEnd w:id="1"/>
            <w:bookmarkEnd w:id="2"/>
            <w:bookmarkEnd w:id="3"/>
            <w:bookmarkEnd w:id="4"/>
            <w:bookmarkEnd w:id="5"/>
            <w:bookmarkEnd w:id="6"/>
            <w:bookmarkEnd w:id="7"/>
            <w:bookmarkEnd w:id="8"/>
            <w:bookmarkEnd w:id="9"/>
            <w:bookmarkEnd w:id="10"/>
            <w:r>
              <w:rPr>
                <w:b/>
                <w:bCs/>
                <w:color w:val="201547"/>
                <w:sz w:val="40"/>
                <w:szCs w:val="40"/>
              </w:rPr>
              <w:t xml:space="preserve">the </w:t>
            </w:r>
            <w:r w:rsidRPr="008033B9">
              <w:rPr>
                <w:b/>
                <w:bCs/>
                <w:i/>
                <w:iCs/>
                <w:color w:val="201547"/>
                <w:sz w:val="40"/>
                <w:szCs w:val="40"/>
              </w:rPr>
              <w:t>Residential Tenancies Act 1997</w:t>
            </w:r>
          </w:p>
        </w:tc>
      </w:tr>
      <w:tr w:rsidR="005F7FF8" w:rsidTr="005F7FF8" w14:paraId="1586076A" w14:textId="77777777">
        <w:trPr>
          <w:trHeight w:val="1247"/>
        </w:trPr>
        <w:tc>
          <w:tcPr>
            <w:tcW w:w="7650" w:type="dxa"/>
          </w:tcPr>
          <w:p w:rsidRPr="009F10D5" w:rsidR="005F7FF8" w:rsidP="005F7FF8" w:rsidRDefault="005F7FF8" w14:paraId="0F93007A" w14:textId="77777777">
            <w:pPr>
              <w:pStyle w:val="Documentsubtitle"/>
              <w:rPr>
                <w:i/>
                <w:iCs/>
              </w:rPr>
            </w:pPr>
            <w:r w:rsidRPr="009F10D5">
              <w:rPr>
                <w:i/>
                <w:iCs/>
              </w:rPr>
              <w:t>Disability and Social Services Regulation Amendment Act 2023</w:t>
            </w:r>
          </w:p>
        </w:tc>
      </w:tr>
      <w:tr w:rsidR="005F7FF8" w:rsidTr="005F7FF8" w14:paraId="44C2F919" w14:textId="77777777">
        <w:trPr>
          <w:trHeight w:val="284"/>
        </w:trPr>
        <w:tc>
          <w:tcPr>
            <w:tcW w:w="7650" w:type="dxa"/>
          </w:tcPr>
          <w:p w:rsidR="005F7FF8" w:rsidP="005F7FF8" w:rsidRDefault="0048022B" w14:paraId="51D71EBC" w14:textId="77777777">
            <w:pPr>
              <w:pStyle w:val="Bannermarking"/>
            </w:pPr>
            <w:r>
              <w:fldChar w:fldCharType="begin"/>
            </w:r>
            <w:r>
              <w:instrText>FILLIN  "Type the protective marking" \d OFFICIAL \o  \* MERGEFORMAT</w:instrText>
            </w:r>
            <w:r>
              <w:fldChar w:fldCharType="separate"/>
            </w:r>
            <w:r w:rsidR="005F7FF8">
              <w:t>OFFICIAL</w:t>
            </w:r>
            <w:r>
              <w:fldChar w:fldCharType="end"/>
            </w:r>
          </w:p>
        </w:tc>
      </w:tr>
    </w:tbl>
    <w:p w:rsidR="008C4A9A" w:rsidRDefault="008C4A9A" w14:paraId="18B2B40E" w14:textId="77777777"/>
    <w:p w:rsidR="000526DF" w:rsidP="00B663F9" w:rsidRDefault="00331AEB" w14:paraId="197390C1" w14:textId="77777777">
      <w:pPr>
        <w:pStyle w:val="Tablecolhead"/>
        <w:rPr>
          <w:rFonts w:asciiTheme="minorHAnsi" w:hAnsiTheme="minorHAnsi" w:eastAsiaTheme="minorEastAsia" w:cstheme="minorBidi"/>
          <w:b w:val="0"/>
          <w:color w:val="auto"/>
          <w:sz w:val="21"/>
          <w:szCs w:val="21"/>
        </w:rPr>
      </w:pPr>
      <w:r>
        <w:rPr>
          <w:noProof/>
        </w:rPr>
        <w:br w:type="textWrapping" w:clear="all"/>
      </w:r>
      <w:r w:rsidRPr="00280C4B" w:rsidR="008C4A9A">
        <w:rPr>
          <w:noProof/>
        </w:rPr>
        <w:drawing>
          <wp:anchor distT="0" distB="0" distL="114300" distR="114300" simplePos="0" relativeHeight="251658240" behindDoc="1" locked="1" layoutInCell="1" allowOverlap="1" wp14:anchorId="7DEEAF7B" wp14:editId="0F9B4A0E">
            <wp:simplePos x="0" y="0"/>
            <wp:positionH relativeFrom="page">
              <wp:posOffset>-3810</wp:posOffset>
            </wp:positionH>
            <wp:positionV relativeFrom="page">
              <wp:posOffset>17145</wp:posOffset>
            </wp:positionV>
            <wp:extent cx="7563485" cy="2070100"/>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bookmarkStart w:name="_Hlk125044012" w:id="11"/>
      <w:bookmarkStart w:name="_Toc1334483301" w:id="12"/>
      <w:bookmarkStart w:name="_Toc151042660" w:id="13"/>
      <w:bookmarkStart w:name="_Hlk66800257" w:id="14"/>
      <w:bookmarkEnd w:id="11"/>
    </w:p>
    <w:sdt>
      <w:sdtPr>
        <w:id w:val="-1839923361"/>
        <w:docPartObj>
          <w:docPartGallery w:val="Table of Contents"/>
          <w:docPartUnique/>
        </w:docPartObj>
        <w:rPr>
          <w:rFonts w:ascii="Calibri" w:hAnsi="Calibri" w:eastAsia="宋体" w:cs="Arial" w:asciiTheme="minorAscii" w:hAnsiTheme="minorAscii" w:eastAsiaTheme="minorEastAsia" w:cstheme="minorBidi"/>
          <w:b w:val="0"/>
          <w:bCs w:val="0"/>
          <w:color w:val="auto"/>
          <w:sz w:val="21"/>
          <w:szCs w:val="21"/>
        </w:rPr>
      </w:sdtPr>
      <w:sdtEndPr>
        <w:rPr>
          <w:rFonts w:ascii="Calibri" w:hAnsi="Calibri" w:eastAsia="宋体" w:cs="Arial" w:asciiTheme="minorAscii" w:hAnsiTheme="minorAscii" w:eastAsiaTheme="minorEastAsia" w:cstheme="minorBidi"/>
          <w:b w:val="0"/>
          <w:bCs w:val="0"/>
          <w:color w:val="auto"/>
          <w:sz w:val="22"/>
          <w:szCs w:val="22"/>
        </w:rPr>
      </w:sdtEndPr>
      <w:sdtContent>
        <w:p w:rsidRPr="00FD3013" w:rsidR="00B663F9" w:rsidP="005F7FF8" w:rsidRDefault="00B663F9" w14:paraId="370A23B2" w14:textId="1F82C238">
          <w:pPr>
            <w:pStyle w:val="Tablecolhead"/>
            <w:rPr>
              <w:sz w:val="29"/>
              <w:szCs w:val="29"/>
            </w:rPr>
          </w:pPr>
          <w:r w:rsidRPr="049EB7DB">
            <w:rPr>
              <w:sz w:val="29"/>
              <w:szCs w:val="29"/>
            </w:rPr>
            <w:t>Contents</w:t>
          </w:r>
        </w:p>
        <w:bookmarkEnd w:id="12"/>
        <w:p w:rsidR="00D737EB" w:rsidRDefault="00B663F9" w14:paraId="651FA551" w14:textId="6C7CD9B5">
          <w:pPr>
            <w:pStyle w:val="TOC1"/>
            <w:tabs>
              <w:tab w:val="left" w:pos="709"/>
            </w:tabs>
            <w:rPr>
              <w:rFonts w:asciiTheme="minorHAnsi" w:hAnsiTheme="minorHAnsi" w:eastAsiaTheme="minorEastAsia"/>
              <w:b w:val="0"/>
              <w:kern w:val="2"/>
              <w:sz w:val="22"/>
              <w:lang w:eastAsia="en-AU"/>
              <w14:ligatures w14:val="standardContextual"/>
            </w:rPr>
          </w:pPr>
          <w:r w:rsidRPr="00443A5C">
            <w:rPr>
              <w:szCs w:val="24"/>
            </w:rPr>
            <w:fldChar w:fldCharType="begin"/>
          </w:r>
          <w:r w:rsidRPr="00443A5C">
            <w:rPr>
              <w:szCs w:val="24"/>
            </w:rPr>
            <w:instrText xml:space="preserve"> TOC \o "1-3" \h \z \u </w:instrText>
          </w:r>
          <w:r w:rsidRPr="00443A5C">
            <w:rPr>
              <w:szCs w:val="24"/>
            </w:rPr>
            <w:fldChar w:fldCharType="separate"/>
          </w:r>
          <w:hyperlink w:history="1" w:anchor="_Toc166852392">
            <w:r w:rsidRPr="00FE3A56" w:rsidR="00D737EB">
              <w:rPr>
                <w:rStyle w:val="Hyperlink"/>
              </w:rPr>
              <w:t>1.</w:t>
            </w:r>
            <w:r w:rsidR="00D737EB">
              <w:rPr>
                <w:rFonts w:asciiTheme="minorHAnsi" w:hAnsiTheme="minorHAnsi" w:eastAsiaTheme="minorEastAsia"/>
                <w:b w:val="0"/>
                <w:kern w:val="2"/>
                <w:sz w:val="22"/>
                <w:lang w:eastAsia="en-AU"/>
                <w14:ligatures w14:val="standardContextual"/>
              </w:rPr>
              <w:tab/>
            </w:r>
            <w:r w:rsidRPr="00FE3A56" w:rsidR="00D737EB">
              <w:rPr>
                <w:rStyle w:val="Hyperlink"/>
              </w:rPr>
              <w:t>Introduction</w:t>
            </w:r>
            <w:r w:rsidR="00D737EB">
              <w:rPr>
                <w:webHidden/>
              </w:rPr>
              <w:tab/>
            </w:r>
            <w:r w:rsidR="00D737EB">
              <w:rPr>
                <w:webHidden/>
              </w:rPr>
              <w:fldChar w:fldCharType="begin"/>
            </w:r>
            <w:r w:rsidR="00D737EB">
              <w:rPr>
                <w:webHidden/>
              </w:rPr>
              <w:instrText xml:space="preserve"> PAGEREF _Toc166852392 \h </w:instrText>
            </w:r>
            <w:r w:rsidR="00D737EB">
              <w:rPr>
                <w:webHidden/>
              </w:rPr>
            </w:r>
            <w:r w:rsidR="00D737EB">
              <w:rPr>
                <w:webHidden/>
              </w:rPr>
              <w:fldChar w:fldCharType="separate"/>
            </w:r>
            <w:r w:rsidR="00D737EB">
              <w:rPr>
                <w:webHidden/>
              </w:rPr>
              <w:t>2</w:t>
            </w:r>
            <w:r w:rsidR="00D737EB">
              <w:rPr>
                <w:webHidden/>
              </w:rPr>
              <w:fldChar w:fldCharType="end"/>
            </w:r>
          </w:hyperlink>
        </w:p>
        <w:p w:rsidR="00D737EB" w:rsidRDefault="00EE2141" w14:paraId="0A15F0E4" w14:textId="4088A866">
          <w:pPr>
            <w:pStyle w:val="TOC2"/>
            <w:rPr>
              <w:rFonts w:asciiTheme="minorHAnsi" w:hAnsiTheme="minorHAnsi" w:eastAsiaTheme="minorEastAsia"/>
              <w:kern w:val="2"/>
              <w:sz w:val="22"/>
              <w:lang w:eastAsia="en-AU"/>
              <w14:ligatures w14:val="standardContextual"/>
            </w:rPr>
          </w:pPr>
          <w:hyperlink w:history="1" w:anchor="_Toc166852393">
            <w:r w:rsidRPr="00FE3A56" w:rsidR="00D737EB">
              <w:rPr>
                <w:rStyle w:val="Hyperlink"/>
              </w:rPr>
              <w:t>Navigating this document</w:t>
            </w:r>
            <w:r w:rsidR="00D737EB">
              <w:rPr>
                <w:webHidden/>
              </w:rPr>
              <w:tab/>
            </w:r>
            <w:r w:rsidR="00D737EB">
              <w:rPr>
                <w:webHidden/>
              </w:rPr>
              <w:fldChar w:fldCharType="begin"/>
            </w:r>
            <w:r w:rsidR="00D737EB">
              <w:rPr>
                <w:webHidden/>
              </w:rPr>
              <w:instrText xml:space="preserve"> PAGEREF _Toc166852393 \h </w:instrText>
            </w:r>
            <w:r w:rsidR="00D737EB">
              <w:rPr>
                <w:webHidden/>
              </w:rPr>
            </w:r>
            <w:r w:rsidR="00D737EB">
              <w:rPr>
                <w:webHidden/>
              </w:rPr>
              <w:fldChar w:fldCharType="separate"/>
            </w:r>
            <w:r w:rsidR="00D737EB">
              <w:rPr>
                <w:webHidden/>
              </w:rPr>
              <w:t>3</w:t>
            </w:r>
            <w:r w:rsidR="00D737EB">
              <w:rPr>
                <w:webHidden/>
              </w:rPr>
              <w:fldChar w:fldCharType="end"/>
            </w:r>
          </w:hyperlink>
        </w:p>
        <w:p w:rsidR="00D737EB" w:rsidRDefault="00EE2141" w14:paraId="06C713DA" w14:textId="728036C3">
          <w:pPr>
            <w:pStyle w:val="TOC1"/>
            <w:tabs>
              <w:tab w:val="left" w:pos="709"/>
            </w:tabs>
            <w:rPr>
              <w:rFonts w:asciiTheme="minorHAnsi" w:hAnsiTheme="minorHAnsi" w:eastAsiaTheme="minorEastAsia"/>
              <w:b w:val="0"/>
              <w:kern w:val="2"/>
              <w:sz w:val="22"/>
              <w:lang w:eastAsia="en-AU"/>
              <w14:ligatures w14:val="standardContextual"/>
            </w:rPr>
          </w:pPr>
          <w:hyperlink w:history="1" w:anchor="_Toc166852394">
            <w:r w:rsidRPr="00FE3A56" w:rsidR="00D737EB">
              <w:rPr>
                <w:rStyle w:val="Hyperlink"/>
              </w:rPr>
              <w:t>2.</w:t>
            </w:r>
            <w:r w:rsidR="00D737EB">
              <w:rPr>
                <w:rFonts w:asciiTheme="minorHAnsi" w:hAnsiTheme="minorHAnsi" w:eastAsiaTheme="minorEastAsia"/>
                <w:b w:val="0"/>
                <w:kern w:val="2"/>
                <w:sz w:val="22"/>
                <w:lang w:eastAsia="en-AU"/>
                <w14:ligatures w14:val="standardContextual"/>
              </w:rPr>
              <w:tab/>
            </w:r>
            <w:r w:rsidRPr="00FE3A56" w:rsidR="00D737EB">
              <w:rPr>
                <w:rStyle w:val="Hyperlink"/>
              </w:rPr>
              <w:t>Summary of key changes</w:t>
            </w:r>
            <w:r w:rsidR="00D737EB">
              <w:rPr>
                <w:webHidden/>
              </w:rPr>
              <w:tab/>
            </w:r>
            <w:r w:rsidR="00D737EB">
              <w:rPr>
                <w:webHidden/>
              </w:rPr>
              <w:fldChar w:fldCharType="begin"/>
            </w:r>
            <w:r w:rsidR="00D737EB">
              <w:rPr>
                <w:webHidden/>
              </w:rPr>
              <w:instrText xml:space="preserve"> PAGEREF _Toc166852394 \h </w:instrText>
            </w:r>
            <w:r w:rsidR="00D737EB">
              <w:rPr>
                <w:webHidden/>
              </w:rPr>
            </w:r>
            <w:r w:rsidR="00D737EB">
              <w:rPr>
                <w:webHidden/>
              </w:rPr>
              <w:fldChar w:fldCharType="separate"/>
            </w:r>
            <w:r w:rsidR="00D737EB">
              <w:rPr>
                <w:webHidden/>
              </w:rPr>
              <w:t>3</w:t>
            </w:r>
            <w:r w:rsidR="00D737EB">
              <w:rPr>
                <w:webHidden/>
              </w:rPr>
              <w:fldChar w:fldCharType="end"/>
            </w:r>
          </w:hyperlink>
        </w:p>
        <w:p w:rsidR="00D737EB" w:rsidRDefault="00EE2141" w14:paraId="1E514E71" w14:textId="136C85AA">
          <w:pPr>
            <w:pStyle w:val="TOC2"/>
            <w:rPr>
              <w:rFonts w:asciiTheme="minorHAnsi" w:hAnsiTheme="minorHAnsi" w:eastAsiaTheme="minorEastAsia"/>
              <w:kern w:val="2"/>
              <w:sz w:val="22"/>
              <w:lang w:eastAsia="en-AU"/>
              <w14:ligatures w14:val="standardContextual"/>
            </w:rPr>
          </w:pPr>
          <w:hyperlink w:history="1" w:anchor="_Toc166852395">
            <w:r w:rsidRPr="00FE3A56" w:rsidR="00D737EB">
              <w:rPr>
                <w:rStyle w:val="Hyperlink"/>
              </w:rPr>
              <w:t>What are the key changes?</w:t>
            </w:r>
            <w:r w:rsidR="00D737EB">
              <w:rPr>
                <w:webHidden/>
              </w:rPr>
              <w:tab/>
            </w:r>
            <w:r w:rsidR="00D737EB">
              <w:rPr>
                <w:webHidden/>
              </w:rPr>
              <w:fldChar w:fldCharType="begin"/>
            </w:r>
            <w:r w:rsidR="00D737EB">
              <w:rPr>
                <w:webHidden/>
              </w:rPr>
              <w:instrText xml:space="preserve"> PAGEREF _Toc166852395 \h </w:instrText>
            </w:r>
            <w:r w:rsidR="00D737EB">
              <w:rPr>
                <w:webHidden/>
              </w:rPr>
            </w:r>
            <w:r w:rsidR="00D737EB">
              <w:rPr>
                <w:webHidden/>
              </w:rPr>
              <w:fldChar w:fldCharType="separate"/>
            </w:r>
            <w:r w:rsidR="00D737EB">
              <w:rPr>
                <w:webHidden/>
              </w:rPr>
              <w:t>3</w:t>
            </w:r>
            <w:r w:rsidR="00D737EB">
              <w:rPr>
                <w:webHidden/>
              </w:rPr>
              <w:fldChar w:fldCharType="end"/>
            </w:r>
          </w:hyperlink>
        </w:p>
        <w:p w:rsidR="00D737EB" w:rsidRDefault="00EE2141" w14:paraId="303AFA07" w14:textId="5E72C514">
          <w:pPr>
            <w:pStyle w:val="TOC2"/>
            <w:rPr>
              <w:rFonts w:asciiTheme="minorHAnsi" w:hAnsiTheme="minorHAnsi" w:eastAsiaTheme="minorEastAsia"/>
              <w:kern w:val="2"/>
              <w:sz w:val="22"/>
              <w:lang w:eastAsia="en-AU"/>
              <w14:ligatures w14:val="standardContextual"/>
            </w:rPr>
          </w:pPr>
          <w:hyperlink w:history="1" w:anchor="_Toc166852396">
            <w:r w:rsidRPr="00FE3A56" w:rsidR="00D737EB">
              <w:rPr>
                <w:rStyle w:val="Hyperlink"/>
              </w:rPr>
              <w:t>Why are the changes needed?</w:t>
            </w:r>
            <w:r w:rsidR="00D737EB">
              <w:rPr>
                <w:webHidden/>
              </w:rPr>
              <w:tab/>
            </w:r>
            <w:r w:rsidR="00D737EB">
              <w:rPr>
                <w:webHidden/>
              </w:rPr>
              <w:fldChar w:fldCharType="begin"/>
            </w:r>
            <w:r w:rsidR="00D737EB">
              <w:rPr>
                <w:webHidden/>
              </w:rPr>
              <w:instrText xml:space="preserve"> PAGEREF _Toc166852396 \h </w:instrText>
            </w:r>
            <w:r w:rsidR="00D737EB">
              <w:rPr>
                <w:webHidden/>
              </w:rPr>
            </w:r>
            <w:r w:rsidR="00D737EB">
              <w:rPr>
                <w:webHidden/>
              </w:rPr>
              <w:fldChar w:fldCharType="separate"/>
            </w:r>
            <w:r w:rsidR="00D737EB">
              <w:rPr>
                <w:webHidden/>
              </w:rPr>
              <w:t>4</w:t>
            </w:r>
            <w:r w:rsidR="00D737EB">
              <w:rPr>
                <w:webHidden/>
              </w:rPr>
              <w:fldChar w:fldCharType="end"/>
            </w:r>
          </w:hyperlink>
        </w:p>
        <w:p w:rsidR="00D737EB" w:rsidRDefault="00EE2141" w14:paraId="6196A220" w14:textId="0D7FB997">
          <w:pPr>
            <w:pStyle w:val="TOC2"/>
            <w:rPr>
              <w:rFonts w:asciiTheme="minorHAnsi" w:hAnsiTheme="minorHAnsi" w:eastAsiaTheme="minorEastAsia"/>
              <w:kern w:val="2"/>
              <w:sz w:val="22"/>
              <w:lang w:eastAsia="en-AU"/>
              <w14:ligatures w14:val="standardContextual"/>
            </w:rPr>
          </w:pPr>
          <w:hyperlink w:history="1" w:anchor="_Toc166852397">
            <w:r w:rsidRPr="00FE3A56" w:rsidR="00D737EB">
              <w:rPr>
                <w:rStyle w:val="Hyperlink"/>
              </w:rPr>
              <w:t>What is not changing?</w:t>
            </w:r>
            <w:r w:rsidR="00D737EB">
              <w:rPr>
                <w:webHidden/>
              </w:rPr>
              <w:tab/>
            </w:r>
            <w:r w:rsidR="00D737EB">
              <w:rPr>
                <w:webHidden/>
              </w:rPr>
              <w:fldChar w:fldCharType="begin"/>
            </w:r>
            <w:r w:rsidR="00D737EB">
              <w:rPr>
                <w:webHidden/>
              </w:rPr>
              <w:instrText xml:space="preserve"> PAGEREF _Toc166852397 \h </w:instrText>
            </w:r>
            <w:r w:rsidR="00D737EB">
              <w:rPr>
                <w:webHidden/>
              </w:rPr>
            </w:r>
            <w:r w:rsidR="00D737EB">
              <w:rPr>
                <w:webHidden/>
              </w:rPr>
              <w:fldChar w:fldCharType="separate"/>
            </w:r>
            <w:r w:rsidR="00D737EB">
              <w:rPr>
                <w:webHidden/>
              </w:rPr>
              <w:t>4</w:t>
            </w:r>
            <w:r w:rsidR="00D737EB">
              <w:rPr>
                <w:webHidden/>
              </w:rPr>
              <w:fldChar w:fldCharType="end"/>
            </w:r>
          </w:hyperlink>
        </w:p>
        <w:p w:rsidR="00D737EB" w:rsidRDefault="00EE2141" w14:paraId="6AD69FAE" w14:textId="55270494">
          <w:pPr>
            <w:pStyle w:val="TOC2"/>
            <w:rPr>
              <w:rFonts w:asciiTheme="minorHAnsi" w:hAnsiTheme="minorHAnsi" w:eastAsiaTheme="minorEastAsia"/>
              <w:kern w:val="2"/>
              <w:sz w:val="22"/>
              <w:lang w:eastAsia="en-AU"/>
              <w14:ligatures w14:val="standardContextual"/>
            </w:rPr>
          </w:pPr>
          <w:hyperlink w:history="1" w:anchor="_Toc166852398">
            <w:r w:rsidRPr="00FE3A56" w:rsidR="00D737EB">
              <w:rPr>
                <w:rStyle w:val="Hyperlink"/>
              </w:rPr>
              <w:t>What the changes mean for people with disability</w:t>
            </w:r>
            <w:r w:rsidR="00D737EB">
              <w:rPr>
                <w:webHidden/>
              </w:rPr>
              <w:tab/>
            </w:r>
            <w:r w:rsidR="00D737EB">
              <w:rPr>
                <w:webHidden/>
              </w:rPr>
              <w:fldChar w:fldCharType="begin"/>
            </w:r>
            <w:r w:rsidR="00D737EB">
              <w:rPr>
                <w:webHidden/>
              </w:rPr>
              <w:instrText xml:space="preserve"> PAGEREF _Toc166852398 \h </w:instrText>
            </w:r>
            <w:r w:rsidR="00D737EB">
              <w:rPr>
                <w:webHidden/>
              </w:rPr>
            </w:r>
            <w:r w:rsidR="00D737EB">
              <w:rPr>
                <w:webHidden/>
              </w:rPr>
              <w:fldChar w:fldCharType="separate"/>
            </w:r>
            <w:r w:rsidR="00D737EB">
              <w:rPr>
                <w:webHidden/>
              </w:rPr>
              <w:t>4</w:t>
            </w:r>
            <w:r w:rsidR="00D737EB">
              <w:rPr>
                <w:webHidden/>
              </w:rPr>
              <w:fldChar w:fldCharType="end"/>
            </w:r>
          </w:hyperlink>
        </w:p>
        <w:p w:rsidR="00D737EB" w:rsidRDefault="00EE2141" w14:paraId="46B8D24B" w14:textId="6FD1D1D1">
          <w:pPr>
            <w:pStyle w:val="TOC2"/>
            <w:rPr>
              <w:rFonts w:asciiTheme="minorHAnsi" w:hAnsiTheme="minorHAnsi" w:eastAsiaTheme="minorEastAsia"/>
              <w:kern w:val="2"/>
              <w:sz w:val="22"/>
              <w:lang w:eastAsia="en-AU"/>
              <w14:ligatures w14:val="standardContextual"/>
            </w:rPr>
          </w:pPr>
          <w:hyperlink w:history="1" w:anchor="_Toc166852399">
            <w:r w:rsidRPr="00FE3A56" w:rsidR="00D737EB">
              <w:rPr>
                <w:rStyle w:val="Hyperlink"/>
              </w:rPr>
              <w:t>What the changes mean for providers</w:t>
            </w:r>
            <w:r w:rsidR="00D737EB">
              <w:rPr>
                <w:webHidden/>
              </w:rPr>
              <w:tab/>
            </w:r>
            <w:r w:rsidR="00D737EB">
              <w:rPr>
                <w:webHidden/>
              </w:rPr>
              <w:fldChar w:fldCharType="begin"/>
            </w:r>
            <w:r w:rsidR="00D737EB">
              <w:rPr>
                <w:webHidden/>
              </w:rPr>
              <w:instrText xml:space="preserve"> PAGEREF _Toc166852399 \h </w:instrText>
            </w:r>
            <w:r w:rsidR="00D737EB">
              <w:rPr>
                <w:webHidden/>
              </w:rPr>
            </w:r>
            <w:r w:rsidR="00D737EB">
              <w:rPr>
                <w:webHidden/>
              </w:rPr>
              <w:fldChar w:fldCharType="separate"/>
            </w:r>
            <w:r w:rsidR="00D737EB">
              <w:rPr>
                <w:webHidden/>
              </w:rPr>
              <w:t>5</w:t>
            </w:r>
            <w:r w:rsidR="00D737EB">
              <w:rPr>
                <w:webHidden/>
              </w:rPr>
              <w:fldChar w:fldCharType="end"/>
            </w:r>
          </w:hyperlink>
        </w:p>
        <w:p w:rsidR="00D737EB" w:rsidRDefault="00EE2141" w14:paraId="3B68594B" w14:textId="35DAD3C4">
          <w:pPr>
            <w:pStyle w:val="TOC3"/>
            <w:rPr>
              <w:rFonts w:asciiTheme="minorHAnsi" w:hAnsiTheme="minorHAnsi" w:eastAsiaTheme="minorEastAsia" w:cstheme="minorBidi"/>
              <w:noProof/>
              <w:kern w:val="2"/>
              <w:sz w:val="22"/>
              <w:lang w:eastAsia="en-AU"/>
              <w14:ligatures w14:val="standardContextual"/>
            </w:rPr>
          </w:pPr>
          <w:hyperlink w:history="1" w:anchor="_Toc166852400">
            <w:r w:rsidRPr="00FE3A56" w:rsidR="00D737EB">
              <w:rPr>
                <w:rStyle w:val="Hyperlink"/>
                <w:noProof/>
              </w:rPr>
              <w:t>SDA enrolled dwellings occupied under an SDA residency agreement</w:t>
            </w:r>
            <w:r w:rsidR="00D737EB">
              <w:rPr>
                <w:noProof/>
                <w:webHidden/>
              </w:rPr>
              <w:tab/>
            </w:r>
            <w:r w:rsidR="00D737EB">
              <w:rPr>
                <w:noProof/>
                <w:webHidden/>
              </w:rPr>
              <w:fldChar w:fldCharType="begin"/>
            </w:r>
            <w:r w:rsidR="00D737EB">
              <w:rPr>
                <w:noProof/>
                <w:webHidden/>
              </w:rPr>
              <w:instrText xml:space="preserve"> PAGEREF _Toc166852400 \h </w:instrText>
            </w:r>
            <w:r w:rsidR="00D737EB">
              <w:rPr>
                <w:noProof/>
                <w:webHidden/>
              </w:rPr>
            </w:r>
            <w:r w:rsidR="00D737EB">
              <w:rPr>
                <w:noProof/>
                <w:webHidden/>
              </w:rPr>
              <w:fldChar w:fldCharType="separate"/>
            </w:r>
            <w:r w:rsidR="00D737EB">
              <w:rPr>
                <w:noProof/>
                <w:webHidden/>
              </w:rPr>
              <w:t>5</w:t>
            </w:r>
            <w:r w:rsidR="00D737EB">
              <w:rPr>
                <w:noProof/>
                <w:webHidden/>
              </w:rPr>
              <w:fldChar w:fldCharType="end"/>
            </w:r>
          </w:hyperlink>
        </w:p>
        <w:p w:rsidR="00D737EB" w:rsidRDefault="00EE2141" w14:paraId="2D36681E" w14:textId="6FDE351A">
          <w:pPr>
            <w:pStyle w:val="TOC3"/>
            <w:rPr>
              <w:rFonts w:asciiTheme="minorHAnsi" w:hAnsiTheme="minorHAnsi" w:eastAsiaTheme="minorEastAsia" w:cstheme="minorBidi"/>
              <w:noProof/>
              <w:kern w:val="2"/>
              <w:sz w:val="22"/>
              <w:lang w:eastAsia="en-AU"/>
              <w14:ligatures w14:val="standardContextual"/>
            </w:rPr>
          </w:pPr>
          <w:hyperlink w:history="1" w:anchor="_Toc166852401">
            <w:r w:rsidRPr="00FE3A56" w:rsidR="00D737EB">
              <w:rPr>
                <w:rStyle w:val="Hyperlink"/>
                <w:noProof/>
              </w:rPr>
              <w:t>SDA enrolled dwellings occupied under a residential rental agreement</w:t>
            </w:r>
            <w:r w:rsidR="00D737EB">
              <w:rPr>
                <w:noProof/>
                <w:webHidden/>
              </w:rPr>
              <w:tab/>
            </w:r>
            <w:r w:rsidR="00D737EB">
              <w:rPr>
                <w:noProof/>
                <w:webHidden/>
              </w:rPr>
              <w:fldChar w:fldCharType="begin"/>
            </w:r>
            <w:r w:rsidR="00D737EB">
              <w:rPr>
                <w:noProof/>
                <w:webHidden/>
              </w:rPr>
              <w:instrText xml:space="preserve"> PAGEREF _Toc166852401 \h </w:instrText>
            </w:r>
            <w:r w:rsidR="00D737EB">
              <w:rPr>
                <w:noProof/>
                <w:webHidden/>
              </w:rPr>
            </w:r>
            <w:r w:rsidR="00D737EB">
              <w:rPr>
                <w:noProof/>
                <w:webHidden/>
              </w:rPr>
              <w:fldChar w:fldCharType="separate"/>
            </w:r>
            <w:r w:rsidR="00D737EB">
              <w:rPr>
                <w:noProof/>
                <w:webHidden/>
              </w:rPr>
              <w:t>5</w:t>
            </w:r>
            <w:r w:rsidR="00D737EB">
              <w:rPr>
                <w:noProof/>
                <w:webHidden/>
              </w:rPr>
              <w:fldChar w:fldCharType="end"/>
            </w:r>
          </w:hyperlink>
        </w:p>
        <w:p w:rsidR="00D737EB" w:rsidRDefault="00EE2141" w14:paraId="1B450085" w14:textId="63932533">
          <w:pPr>
            <w:pStyle w:val="TOC3"/>
            <w:rPr>
              <w:rFonts w:asciiTheme="minorHAnsi" w:hAnsiTheme="minorHAnsi" w:eastAsiaTheme="minorEastAsia" w:cstheme="minorBidi"/>
              <w:noProof/>
              <w:kern w:val="2"/>
              <w:sz w:val="22"/>
              <w:lang w:eastAsia="en-AU"/>
              <w14:ligatures w14:val="standardContextual"/>
            </w:rPr>
          </w:pPr>
          <w:hyperlink w:history="1" w:anchor="_Toc166852402">
            <w:r w:rsidRPr="00FE3A56" w:rsidR="00D737EB">
              <w:rPr>
                <w:rStyle w:val="Hyperlink"/>
                <w:noProof/>
              </w:rPr>
              <w:t>Other accommodation that will become an SDA dwelling from 1 July 2024</w:t>
            </w:r>
            <w:r w:rsidR="00D737EB">
              <w:rPr>
                <w:noProof/>
                <w:webHidden/>
              </w:rPr>
              <w:tab/>
            </w:r>
            <w:r w:rsidR="00D737EB">
              <w:rPr>
                <w:noProof/>
                <w:webHidden/>
              </w:rPr>
              <w:fldChar w:fldCharType="begin"/>
            </w:r>
            <w:r w:rsidR="00D737EB">
              <w:rPr>
                <w:noProof/>
                <w:webHidden/>
              </w:rPr>
              <w:instrText xml:space="preserve"> PAGEREF _Toc166852402 \h </w:instrText>
            </w:r>
            <w:r w:rsidR="00D737EB">
              <w:rPr>
                <w:noProof/>
                <w:webHidden/>
              </w:rPr>
            </w:r>
            <w:r w:rsidR="00D737EB">
              <w:rPr>
                <w:noProof/>
                <w:webHidden/>
              </w:rPr>
              <w:fldChar w:fldCharType="separate"/>
            </w:r>
            <w:r w:rsidR="00D737EB">
              <w:rPr>
                <w:noProof/>
                <w:webHidden/>
              </w:rPr>
              <w:t>6</w:t>
            </w:r>
            <w:r w:rsidR="00D737EB">
              <w:rPr>
                <w:noProof/>
                <w:webHidden/>
              </w:rPr>
              <w:fldChar w:fldCharType="end"/>
            </w:r>
          </w:hyperlink>
        </w:p>
        <w:p w:rsidR="00D737EB" w:rsidRDefault="00EE2141" w14:paraId="4131BBF1" w14:textId="5531CEA8">
          <w:pPr>
            <w:pStyle w:val="TOC3"/>
            <w:rPr>
              <w:rFonts w:asciiTheme="minorHAnsi" w:hAnsiTheme="minorHAnsi" w:eastAsiaTheme="minorEastAsia" w:cstheme="minorBidi"/>
              <w:noProof/>
              <w:kern w:val="2"/>
              <w:sz w:val="22"/>
              <w:lang w:eastAsia="en-AU"/>
              <w14:ligatures w14:val="standardContextual"/>
            </w:rPr>
          </w:pPr>
          <w:hyperlink w:history="1" w:anchor="_Toc166852403">
            <w:r w:rsidRPr="00FE3A56" w:rsidR="00D737EB">
              <w:rPr>
                <w:rStyle w:val="Hyperlink"/>
                <w:noProof/>
              </w:rPr>
              <w:t>Group homes operated as a residential service under the Disability Act</w:t>
            </w:r>
            <w:r w:rsidR="00D737EB">
              <w:rPr>
                <w:noProof/>
                <w:webHidden/>
              </w:rPr>
              <w:tab/>
            </w:r>
            <w:r w:rsidR="00D737EB">
              <w:rPr>
                <w:noProof/>
                <w:webHidden/>
              </w:rPr>
              <w:fldChar w:fldCharType="begin"/>
            </w:r>
            <w:r w:rsidR="00D737EB">
              <w:rPr>
                <w:noProof/>
                <w:webHidden/>
              </w:rPr>
              <w:instrText xml:space="preserve"> PAGEREF _Toc166852403 \h </w:instrText>
            </w:r>
            <w:r w:rsidR="00D737EB">
              <w:rPr>
                <w:noProof/>
                <w:webHidden/>
              </w:rPr>
            </w:r>
            <w:r w:rsidR="00D737EB">
              <w:rPr>
                <w:noProof/>
                <w:webHidden/>
              </w:rPr>
              <w:fldChar w:fldCharType="separate"/>
            </w:r>
            <w:r w:rsidR="00D737EB">
              <w:rPr>
                <w:noProof/>
                <w:webHidden/>
              </w:rPr>
              <w:t>6</w:t>
            </w:r>
            <w:r w:rsidR="00D737EB">
              <w:rPr>
                <w:noProof/>
                <w:webHidden/>
              </w:rPr>
              <w:fldChar w:fldCharType="end"/>
            </w:r>
          </w:hyperlink>
        </w:p>
        <w:p w:rsidR="00D737EB" w:rsidRDefault="00EE2141" w14:paraId="2C03ED49" w14:textId="155DEED1">
          <w:pPr>
            <w:pStyle w:val="TOC1"/>
            <w:tabs>
              <w:tab w:val="left" w:pos="709"/>
            </w:tabs>
            <w:rPr>
              <w:rFonts w:asciiTheme="minorHAnsi" w:hAnsiTheme="minorHAnsi" w:eastAsiaTheme="minorEastAsia"/>
              <w:b w:val="0"/>
              <w:kern w:val="2"/>
              <w:sz w:val="22"/>
              <w:lang w:eastAsia="en-AU"/>
              <w14:ligatures w14:val="standardContextual"/>
            </w:rPr>
          </w:pPr>
          <w:hyperlink w:history="1" w:anchor="_Toc166852404">
            <w:r w:rsidRPr="00FE3A56" w:rsidR="00D737EB">
              <w:rPr>
                <w:rStyle w:val="Hyperlink"/>
              </w:rPr>
              <w:t>3.</w:t>
            </w:r>
            <w:r w:rsidR="00D737EB">
              <w:rPr>
                <w:rFonts w:asciiTheme="minorHAnsi" w:hAnsiTheme="minorHAnsi" w:eastAsiaTheme="minorEastAsia"/>
                <w:b w:val="0"/>
                <w:kern w:val="2"/>
                <w:sz w:val="22"/>
                <w:lang w:eastAsia="en-AU"/>
                <w14:ligatures w14:val="standardContextual"/>
              </w:rPr>
              <w:tab/>
            </w:r>
            <w:r w:rsidRPr="00FE3A56" w:rsidR="00D737EB">
              <w:rPr>
                <w:rStyle w:val="Hyperlink"/>
              </w:rPr>
              <w:t>New definitions of SDA dwelling, SDA provider and SDA resident</w:t>
            </w:r>
            <w:r w:rsidR="00D737EB">
              <w:rPr>
                <w:webHidden/>
              </w:rPr>
              <w:tab/>
            </w:r>
            <w:r w:rsidR="00D737EB">
              <w:rPr>
                <w:webHidden/>
              </w:rPr>
              <w:fldChar w:fldCharType="begin"/>
            </w:r>
            <w:r w:rsidR="00D737EB">
              <w:rPr>
                <w:webHidden/>
              </w:rPr>
              <w:instrText xml:space="preserve"> PAGEREF _Toc166852404 \h </w:instrText>
            </w:r>
            <w:r w:rsidR="00D737EB">
              <w:rPr>
                <w:webHidden/>
              </w:rPr>
            </w:r>
            <w:r w:rsidR="00D737EB">
              <w:rPr>
                <w:webHidden/>
              </w:rPr>
              <w:fldChar w:fldCharType="separate"/>
            </w:r>
            <w:r w:rsidR="00D737EB">
              <w:rPr>
                <w:webHidden/>
              </w:rPr>
              <w:t>7</w:t>
            </w:r>
            <w:r w:rsidR="00D737EB">
              <w:rPr>
                <w:webHidden/>
              </w:rPr>
              <w:fldChar w:fldCharType="end"/>
            </w:r>
          </w:hyperlink>
        </w:p>
        <w:p w:rsidR="00D737EB" w:rsidRDefault="00EE2141" w14:paraId="2DB2D01A" w14:textId="5FE902B0">
          <w:pPr>
            <w:pStyle w:val="TOC2"/>
            <w:rPr>
              <w:rFonts w:asciiTheme="minorHAnsi" w:hAnsiTheme="minorHAnsi" w:eastAsiaTheme="minorEastAsia"/>
              <w:kern w:val="2"/>
              <w:sz w:val="22"/>
              <w:lang w:eastAsia="en-AU"/>
              <w14:ligatures w14:val="standardContextual"/>
            </w:rPr>
          </w:pPr>
          <w:hyperlink w:history="1" w:anchor="_Toc166852405">
            <w:r w:rsidRPr="00FE3A56" w:rsidR="00D737EB">
              <w:rPr>
                <w:rStyle w:val="Hyperlink"/>
              </w:rPr>
              <w:t>New definition of SDA dwelling</w:t>
            </w:r>
            <w:r w:rsidR="00D737EB">
              <w:rPr>
                <w:webHidden/>
              </w:rPr>
              <w:tab/>
            </w:r>
            <w:r w:rsidR="00D737EB">
              <w:rPr>
                <w:webHidden/>
              </w:rPr>
              <w:fldChar w:fldCharType="begin"/>
            </w:r>
            <w:r w:rsidR="00D737EB">
              <w:rPr>
                <w:webHidden/>
              </w:rPr>
              <w:instrText xml:space="preserve"> PAGEREF _Toc166852405 \h </w:instrText>
            </w:r>
            <w:r w:rsidR="00D737EB">
              <w:rPr>
                <w:webHidden/>
              </w:rPr>
            </w:r>
            <w:r w:rsidR="00D737EB">
              <w:rPr>
                <w:webHidden/>
              </w:rPr>
              <w:fldChar w:fldCharType="separate"/>
            </w:r>
            <w:r w:rsidR="00D737EB">
              <w:rPr>
                <w:webHidden/>
              </w:rPr>
              <w:t>7</w:t>
            </w:r>
            <w:r w:rsidR="00D737EB">
              <w:rPr>
                <w:webHidden/>
              </w:rPr>
              <w:fldChar w:fldCharType="end"/>
            </w:r>
          </w:hyperlink>
        </w:p>
        <w:p w:rsidR="00D737EB" w:rsidRDefault="00EE2141" w14:paraId="3FE65355" w14:textId="57F39CC4">
          <w:pPr>
            <w:pStyle w:val="TOC2"/>
            <w:rPr>
              <w:rFonts w:asciiTheme="minorHAnsi" w:hAnsiTheme="minorHAnsi" w:eastAsiaTheme="minorEastAsia"/>
              <w:kern w:val="2"/>
              <w:sz w:val="22"/>
              <w:lang w:eastAsia="en-AU"/>
              <w14:ligatures w14:val="standardContextual"/>
            </w:rPr>
          </w:pPr>
          <w:hyperlink w:history="1" w:anchor="_Toc166852406">
            <w:r w:rsidRPr="00FE3A56" w:rsidR="00D737EB">
              <w:rPr>
                <w:rStyle w:val="Hyperlink"/>
              </w:rPr>
              <w:t>New definition of SDA provider</w:t>
            </w:r>
            <w:r w:rsidR="00D737EB">
              <w:rPr>
                <w:webHidden/>
              </w:rPr>
              <w:tab/>
            </w:r>
            <w:r w:rsidR="00D737EB">
              <w:rPr>
                <w:webHidden/>
              </w:rPr>
              <w:fldChar w:fldCharType="begin"/>
            </w:r>
            <w:r w:rsidR="00D737EB">
              <w:rPr>
                <w:webHidden/>
              </w:rPr>
              <w:instrText xml:space="preserve"> PAGEREF _Toc166852406 \h </w:instrText>
            </w:r>
            <w:r w:rsidR="00D737EB">
              <w:rPr>
                <w:webHidden/>
              </w:rPr>
            </w:r>
            <w:r w:rsidR="00D737EB">
              <w:rPr>
                <w:webHidden/>
              </w:rPr>
              <w:fldChar w:fldCharType="separate"/>
            </w:r>
            <w:r w:rsidR="00D737EB">
              <w:rPr>
                <w:webHidden/>
              </w:rPr>
              <w:t>7</w:t>
            </w:r>
            <w:r w:rsidR="00D737EB">
              <w:rPr>
                <w:webHidden/>
              </w:rPr>
              <w:fldChar w:fldCharType="end"/>
            </w:r>
          </w:hyperlink>
        </w:p>
        <w:p w:rsidR="00D737EB" w:rsidRDefault="00EE2141" w14:paraId="0217AE36" w14:textId="49E150AA">
          <w:pPr>
            <w:pStyle w:val="TOC2"/>
            <w:rPr>
              <w:rFonts w:asciiTheme="minorHAnsi" w:hAnsiTheme="minorHAnsi" w:eastAsiaTheme="minorEastAsia"/>
              <w:kern w:val="2"/>
              <w:sz w:val="22"/>
              <w:lang w:eastAsia="en-AU"/>
              <w14:ligatures w14:val="standardContextual"/>
            </w:rPr>
          </w:pPr>
          <w:hyperlink w:history="1" w:anchor="_Toc166852407">
            <w:r w:rsidRPr="00FE3A56" w:rsidR="00D737EB">
              <w:rPr>
                <w:rStyle w:val="Hyperlink"/>
              </w:rPr>
              <w:t>New definition of SDA resident</w:t>
            </w:r>
            <w:r w:rsidR="00D737EB">
              <w:rPr>
                <w:webHidden/>
              </w:rPr>
              <w:tab/>
            </w:r>
            <w:r w:rsidR="00D737EB">
              <w:rPr>
                <w:webHidden/>
              </w:rPr>
              <w:fldChar w:fldCharType="begin"/>
            </w:r>
            <w:r w:rsidR="00D737EB">
              <w:rPr>
                <w:webHidden/>
              </w:rPr>
              <w:instrText xml:space="preserve"> PAGEREF _Toc166852407 \h </w:instrText>
            </w:r>
            <w:r w:rsidR="00D737EB">
              <w:rPr>
                <w:webHidden/>
              </w:rPr>
            </w:r>
            <w:r w:rsidR="00D737EB">
              <w:rPr>
                <w:webHidden/>
              </w:rPr>
              <w:fldChar w:fldCharType="separate"/>
            </w:r>
            <w:r w:rsidR="00D737EB">
              <w:rPr>
                <w:webHidden/>
              </w:rPr>
              <w:t>8</w:t>
            </w:r>
            <w:r w:rsidR="00D737EB">
              <w:rPr>
                <w:webHidden/>
              </w:rPr>
              <w:fldChar w:fldCharType="end"/>
            </w:r>
          </w:hyperlink>
        </w:p>
        <w:p w:rsidR="00D737EB" w:rsidRDefault="00EE2141" w14:paraId="61830849" w14:textId="4E9C6BBB">
          <w:pPr>
            <w:pStyle w:val="TOC1"/>
            <w:tabs>
              <w:tab w:val="left" w:pos="709"/>
            </w:tabs>
            <w:rPr>
              <w:rFonts w:asciiTheme="minorHAnsi" w:hAnsiTheme="minorHAnsi" w:eastAsiaTheme="minorEastAsia"/>
              <w:b w:val="0"/>
              <w:kern w:val="2"/>
              <w:sz w:val="22"/>
              <w:lang w:eastAsia="en-AU"/>
              <w14:ligatures w14:val="standardContextual"/>
            </w:rPr>
          </w:pPr>
          <w:hyperlink w:history="1" w:anchor="_Toc166852408">
            <w:r w:rsidRPr="00FE3A56" w:rsidR="00D737EB">
              <w:rPr>
                <w:rStyle w:val="Hyperlink"/>
              </w:rPr>
              <w:t>4.</w:t>
            </w:r>
            <w:r w:rsidR="00D737EB">
              <w:rPr>
                <w:rFonts w:asciiTheme="minorHAnsi" w:hAnsiTheme="minorHAnsi" w:eastAsiaTheme="minorEastAsia"/>
                <w:b w:val="0"/>
                <w:kern w:val="2"/>
                <w:sz w:val="22"/>
                <w:lang w:eastAsia="en-AU"/>
                <w14:ligatures w14:val="standardContextual"/>
              </w:rPr>
              <w:tab/>
            </w:r>
            <w:r w:rsidRPr="00FE3A56" w:rsidR="00D737EB">
              <w:rPr>
                <w:rStyle w:val="Hyperlink"/>
              </w:rPr>
              <w:t>Choice of residential agreement</w:t>
            </w:r>
            <w:r w:rsidR="00D737EB">
              <w:rPr>
                <w:webHidden/>
              </w:rPr>
              <w:tab/>
            </w:r>
            <w:r w:rsidR="00D737EB">
              <w:rPr>
                <w:webHidden/>
              </w:rPr>
              <w:fldChar w:fldCharType="begin"/>
            </w:r>
            <w:r w:rsidR="00D737EB">
              <w:rPr>
                <w:webHidden/>
              </w:rPr>
              <w:instrText xml:space="preserve"> PAGEREF _Toc166852408 \h </w:instrText>
            </w:r>
            <w:r w:rsidR="00D737EB">
              <w:rPr>
                <w:webHidden/>
              </w:rPr>
            </w:r>
            <w:r w:rsidR="00D737EB">
              <w:rPr>
                <w:webHidden/>
              </w:rPr>
              <w:fldChar w:fldCharType="separate"/>
            </w:r>
            <w:r w:rsidR="00D737EB">
              <w:rPr>
                <w:webHidden/>
              </w:rPr>
              <w:t>8</w:t>
            </w:r>
            <w:r w:rsidR="00D737EB">
              <w:rPr>
                <w:webHidden/>
              </w:rPr>
              <w:fldChar w:fldCharType="end"/>
            </w:r>
          </w:hyperlink>
        </w:p>
        <w:p w:rsidR="00D737EB" w:rsidRDefault="00EE2141" w14:paraId="7AE1BAF9" w14:textId="631C88F6">
          <w:pPr>
            <w:pStyle w:val="TOC2"/>
            <w:rPr>
              <w:rFonts w:asciiTheme="minorHAnsi" w:hAnsiTheme="minorHAnsi" w:eastAsiaTheme="minorEastAsia"/>
              <w:kern w:val="2"/>
              <w:sz w:val="22"/>
              <w:lang w:eastAsia="en-AU"/>
              <w14:ligatures w14:val="standardContextual"/>
            </w:rPr>
          </w:pPr>
          <w:hyperlink w:history="1" w:anchor="_Toc166852409">
            <w:r w:rsidRPr="00FE3A56" w:rsidR="00D737EB">
              <w:rPr>
                <w:rStyle w:val="Hyperlink"/>
              </w:rPr>
              <w:t>Key differences between residential rental agreements and SDA residency agreements</w:t>
            </w:r>
            <w:r w:rsidR="00D737EB">
              <w:rPr>
                <w:webHidden/>
              </w:rPr>
              <w:tab/>
            </w:r>
            <w:r w:rsidR="00D737EB">
              <w:rPr>
                <w:webHidden/>
              </w:rPr>
              <w:fldChar w:fldCharType="begin"/>
            </w:r>
            <w:r w:rsidR="00D737EB">
              <w:rPr>
                <w:webHidden/>
              </w:rPr>
              <w:instrText xml:space="preserve"> PAGEREF _Toc166852409 \h </w:instrText>
            </w:r>
            <w:r w:rsidR="00D737EB">
              <w:rPr>
                <w:webHidden/>
              </w:rPr>
            </w:r>
            <w:r w:rsidR="00D737EB">
              <w:rPr>
                <w:webHidden/>
              </w:rPr>
              <w:fldChar w:fldCharType="separate"/>
            </w:r>
            <w:r w:rsidR="00D737EB">
              <w:rPr>
                <w:webHidden/>
              </w:rPr>
              <w:t>8</w:t>
            </w:r>
            <w:r w:rsidR="00D737EB">
              <w:rPr>
                <w:webHidden/>
              </w:rPr>
              <w:fldChar w:fldCharType="end"/>
            </w:r>
          </w:hyperlink>
        </w:p>
        <w:p w:rsidR="00D737EB" w:rsidRDefault="00EE2141" w14:paraId="40CEED39" w14:textId="29DE2895">
          <w:pPr>
            <w:pStyle w:val="TOC2"/>
            <w:rPr>
              <w:rFonts w:asciiTheme="minorHAnsi" w:hAnsiTheme="minorHAnsi" w:eastAsiaTheme="minorEastAsia"/>
              <w:kern w:val="2"/>
              <w:sz w:val="22"/>
              <w:lang w:eastAsia="en-AU"/>
              <w14:ligatures w14:val="standardContextual"/>
            </w:rPr>
          </w:pPr>
          <w:hyperlink w:history="1" w:anchor="_Toc166852410">
            <w:r w:rsidRPr="00FE3A56" w:rsidR="00D737EB">
              <w:rPr>
                <w:rStyle w:val="Hyperlink"/>
              </w:rPr>
              <w:t>Entering and establishing an SDA residency agreement</w:t>
            </w:r>
            <w:r w:rsidR="00D737EB">
              <w:rPr>
                <w:webHidden/>
              </w:rPr>
              <w:tab/>
            </w:r>
            <w:r w:rsidR="00D737EB">
              <w:rPr>
                <w:webHidden/>
              </w:rPr>
              <w:fldChar w:fldCharType="begin"/>
            </w:r>
            <w:r w:rsidR="00D737EB">
              <w:rPr>
                <w:webHidden/>
              </w:rPr>
              <w:instrText xml:space="preserve"> PAGEREF _Toc166852410 \h </w:instrText>
            </w:r>
            <w:r w:rsidR="00D737EB">
              <w:rPr>
                <w:webHidden/>
              </w:rPr>
            </w:r>
            <w:r w:rsidR="00D737EB">
              <w:rPr>
                <w:webHidden/>
              </w:rPr>
              <w:fldChar w:fldCharType="separate"/>
            </w:r>
            <w:r w:rsidR="00D737EB">
              <w:rPr>
                <w:webHidden/>
              </w:rPr>
              <w:t>9</w:t>
            </w:r>
            <w:r w:rsidR="00D737EB">
              <w:rPr>
                <w:webHidden/>
              </w:rPr>
              <w:fldChar w:fldCharType="end"/>
            </w:r>
          </w:hyperlink>
        </w:p>
        <w:p w:rsidR="00D737EB" w:rsidRDefault="00EE2141" w14:paraId="5D6F8CD4" w14:textId="460A29EC">
          <w:pPr>
            <w:pStyle w:val="TOC2"/>
            <w:rPr>
              <w:rFonts w:asciiTheme="minorHAnsi" w:hAnsiTheme="minorHAnsi" w:eastAsiaTheme="minorEastAsia"/>
              <w:kern w:val="2"/>
              <w:sz w:val="22"/>
              <w:lang w:eastAsia="en-AU"/>
              <w14:ligatures w14:val="standardContextual"/>
            </w:rPr>
          </w:pPr>
          <w:hyperlink w:history="1" w:anchor="_Toc166852411">
            <w:r w:rsidRPr="00FE3A56" w:rsidR="00D737EB">
              <w:rPr>
                <w:rStyle w:val="Hyperlink"/>
              </w:rPr>
              <w:t>Registering an SDA residency agreement</w:t>
            </w:r>
            <w:r w:rsidR="00D737EB">
              <w:rPr>
                <w:webHidden/>
              </w:rPr>
              <w:tab/>
            </w:r>
            <w:r w:rsidR="00D737EB">
              <w:rPr>
                <w:webHidden/>
              </w:rPr>
              <w:fldChar w:fldCharType="begin"/>
            </w:r>
            <w:r w:rsidR="00D737EB">
              <w:rPr>
                <w:webHidden/>
              </w:rPr>
              <w:instrText xml:space="preserve"> PAGEREF _Toc166852411 \h </w:instrText>
            </w:r>
            <w:r w:rsidR="00D737EB">
              <w:rPr>
                <w:webHidden/>
              </w:rPr>
            </w:r>
            <w:r w:rsidR="00D737EB">
              <w:rPr>
                <w:webHidden/>
              </w:rPr>
              <w:fldChar w:fldCharType="separate"/>
            </w:r>
            <w:r w:rsidR="00D737EB">
              <w:rPr>
                <w:webHidden/>
              </w:rPr>
              <w:t>10</w:t>
            </w:r>
            <w:r w:rsidR="00D737EB">
              <w:rPr>
                <w:webHidden/>
              </w:rPr>
              <w:fldChar w:fldCharType="end"/>
            </w:r>
          </w:hyperlink>
        </w:p>
        <w:p w:rsidR="00D737EB" w:rsidRDefault="00EE2141" w14:paraId="1B7A9B27" w14:textId="0172C0F8">
          <w:pPr>
            <w:pStyle w:val="TOC1"/>
            <w:tabs>
              <w:tab w:val="left" w:pos="709"/>
            </w:tabs>
            <w:rPr>
              <w:rFonts w:asciiTheme="minorHAnsi" w:hAnsiTheme="minorHAnsi" w:eastAsiaTheme="minorEastAsia"/>
              <w:b w:val="0"/>
              <w:kern w:val="2"/>
              <w:sz w:val="22"/>
              <w:lang w:eastAsia="en-AU"/>
              <w14:ligatures w14:val="standardContextual"/>
            </w:rPr>
          </w:pPr>
          <w:hyperlink w:history="1" w:anchor="_Toc166852412">
            <w:r w:rsidRPr="00FE3A56" w:rsidR="00D737EB">
              <w:rPr>
                <w:rStyle w:val="Hyperlink"/>
              </w:rPr>
              <w:t>5.</w:t>
            </w:r>
            <w:r w:rsidR="00D737EB">
              <w:rPr>
                <w:rFonts w:asciiTheme="minorHAnsi" w:hAnsiTheme="minorHAnsi" w:eastAsiaTheme="minorEastAsia"/>
                <w:b w:val="0"/>
                <w:kern w:val="2"/>
                <w:sz w:val="22"/>
                <w:lang w:eastAsia="en-AU"/>
                <w14:ligatures w14:val="standardContextual"/>
              </w:rPr>
              <w:tab/>
            </w:r>
            <w:r w:rsidRPr="00FE3A56" w:rsidR="00D737EB">
              <w:rPr>
                <w:rStyle w:val="Hyperlink"/>
              </w:rPr>
              <w:t>Other changes</w:t>
            </w:r>
            <w:r w:rsidR="00D737EB">
              <w:rPr>
                <w:webHidden/>
              </w:rPr>
              <w:tab/>
            </w:r>
            <w:r w:rsidR="00D737EB">
              <w:rPr>
                <w:webHidden/>
              </w:rPr>
              <w:fldChar w:fldCharType="begin"/>
            </w:r>
            <w:r w:rsidR="00D737EB">
              <w:rPr>
                <w:webHidden/>
              </w:rPr>
              <w:instrText xml:space="preserve"> PAGEREF _Toc166852412 \h </w:instrText>
            </w:r>
            <w:r w:rsidR="00D737EB">
              <w:rPr>
                <w:webHidden/>
              </w:rPr>
            </w:r>
            <w:r w:rsidR="00D737EB">
              <w:rPr>
                <w:webHidden/>
              </w:rPr>
              <w:fldChar w:fldCharType="separate"/>
            </w:r>
            <w:r w:rsidR="00D737EB">
              <w:rPr>
                <w:webHidden/>
              </w:rPr>
              <w:t>10</w:t>
            </w:r>
            <w:r w:rsidR="00D737EB">
              <w:rPr>
                <w:webHidden/>
              </w:rPr>
              <w:fldChar w:fldCharType="end"/>
            </w:r>
          </w:hyperlink>
        </w:p>
        <w:p w:rsidR="00D737EB" w:rsidRDefault="00EE2141" w14:paraId="499EDD7E" w14:textId="493A3151">
          <w:pPr>
            <w:pStyle w:val="TOC2"/>
            <w:rPr>
              <w:rFonts w:asciiTheme="minorHAnsi" w:hAnsiTheme="minorHAnsi" w:eastAsiaTheme="minorEastAsia"/>
              <w:kern w:val="2"/>
              <w:sz w:val="22"/>
              <w:lang w:eastAsia="en-AU"/>
              <w14:ligatures w14:val="standardContextual"/>
            </w:rPr>
          </w:pPr>
          <w:hyperlink w:history="1" w:anchor="_Toc166852413">
            <w:r w:rsidRPr="00FE3A56" w:rsidR="00D737EB">
              <w:rPr>
                <w:rStyle w:val="Hyperlink"/>
              </w:rPr>
              <w:t>Changes to residential notices for SDA residency agreements</w:t>
            </w:r>
            <w:r w:rsidR="00D737EB">
              <w:rPr>
                <w:webHidden/>
              </w:rPr>
              <w:tab/>
            </w:r>
            <w:r w:rsidR="00D737EB">
              <w:rPr>
                <w:webHidden/>
              </w:rPr>
              <w:fldChar w:fldCharType="begin"/>
            </w:r>
            <w:r w:rsidR="00D737EB">
              <w:rPr>
                <w:webHidden/>
              </w:rPr>
              <w:instrText xml:space="preserve"> PAGEREF _Toc166852413 \h </w:instrText>
            </w:r>
            <w:r w:rsidR="00D737EB">
              <w:rPr>
                <w:webHidden/>
              </w:rPr>
            </w:r>
            <w:r w:rsidR="00D737EB">
              <w:rPr>
                <w:webHidden/>
              </w:rPr>
              <w:fldChar w:fldCharType="separate"/>
            </w:r>
            <w:r w:rsidR="00D737EB">
              <w:rPr>
                <w:webHidden/>
              </w:rPr>
              <w:t>10</w:t>
            </w:r>
            <w:r w:rsidR="00D737EB">
              <w:rPr>
                <w:webHidden/>
              </w:rPr>
              <w:fldChar w:fldCharType="end"/>
            </w:r>
          </w:hyperlink>
        </w:p>
        <w:p w:rsidR="00D737EB" w:rsidRDefault="00EE2141" w14:paraId="6EA3F8B2" w14:textId="3C6D2C3A">
          <w:pPr>
            <w:pStyle w:val="TOC2"/>
            <w:rPr>
              <w:rFonts w:asciiTheme="minorHAnsi" w:hAnsiTheme="minorHAnsi" w:eastAsiaTheme="minorEastAsia"/>
              <w:kern w:val="2"/>
              <w:sz w:val="22"/>
              <w:lang w:eastAsia="en-AU"/>
              <w14:ligatures w14:val="standardContextual"/>
            </w:rPr>
          </w:pPr>
          <w:hyperlink w:history="1" w:anchor="_Toc166852414">
            <w:r w:rsidRPr="00FE3A56" w:rsidR="00D737EB">
              <w:rPr>
                <w:rStyle w:val="Hyperlink"/>
              </w:rPr>
              <w:t>Changes to who community visitors can visit</w:t>
            </w:r>
            <w:r w:rsidR="00D737EB">
              <w:rPr>
                <w:webHidden/>
              </w:rPr>
              <w:tab/>
            </w:r>
            <w:r w:rsidR="00D737EB">
              <w:rPr>
                <w:webHidden/>
              </w:rPr>
              <w:fldChar w:fldCharType="begin"/>
            </w:r>
            <w:r w:rsidR="00D737EB">
              <w:rPr>
                <w:webHidden/>
              </w:rPr>
              <w:instrText xml:space="preserve"> PAGEREF _Toc166852414 \h </w:instrText>
            </w:r>
            <w:r w:rsidR="00D737EB">
              <w:rPr>
                <w:webHidden/>
              </w:rPr>
            </w:r>
            <w:r w:rsidR="00D737EB">
              <w:rPr>
                <w:webHidden/>
              </w:rPr>
              <w:fldChar w:fldCharType="separate"/>
            </w:r>
            <w:r w:rsidR="00D737EB">
              <w:rPr>
                <w:webHidden/>
              </w:rPr>
              <w:t>10</w:t>
            </w:r>
            <w:r w:rsidR="00D737EB">
              <w:rPr>
                <w:webHidden/>
              </w:rPr>
              <w:fldChar w:fldCharType="end"/>
            </w:r>
          </w:hyperlink>
        </w:p>
        <w:p w:rsidR="00D737EB" w:rsidRDefault="00EE2141" w14:paraId="2388C146" w14:textId="4EE0FD9E">
          <w:pPr>
            <w:pStyle w:val="TOC2"/>
            <w:rPr>
              <w:rFonts w:asciiTheme="minorHAnsi" w:hAnsiTheme="minorHAnsi" w:eastAsiaTheme="minorEastAsia"/>
              <w:kern w:val="2"/>
              <w:sz w:val="22"/>
              <w:lang w:eastAsia="en-AU"/>
              <w14:ligatures w14:val="standardContextual"/>
            </w:rPr>
          </w:pPr>
          <w:hyperlink w:history="1" w:anchor="_Toc166852415">
            <w:r w:rsidRPr="00FE3A56" w:rsidR="00D737EB">
              <w:rPr>
                <w:rStyle w:val="Hyperlink"/>
              </w:rPr>
              <w:t>Offences</w:t>
            </w:r>
            <w:r w:rsidR="00D737EB">
              <w:rPr>
                <w:webHidden/>
              </w:rPr>
              <w:tab/>
            </w:r>
            <w:r w:rsidR="00D737EB">
              <w:rPr>
                <w:webHidden/>
              </w:rPr>
              <w:fldChar w:fldCharType="begin"/>
            </w:r>
            <w:r w:rsidR="00D737EB">
              <w:rPr>
                <w:webHidden/>
              </w:rPr>
              <w:instrText xml:space="preserve"> PAGEREF _Toc166852415 \h </w:instrText>
            </w:r>
            <w:r w:rsidR="00D737EB">
              <w:rPr>
                <w:webHidden/>
              </w:rPr>
            </w:r>
            <w:r w:rsidR="00D737EB">
              <w:rPr>
                <w:webHidden/>
              </w:rPr>
              <w:fldChar w:fldCharType="separate"/>
            </w:r>
            <w:r w:rsidR="00D737EB">
              <w:rPr>
                <w:webHidden/>
              </w:rPr>
              <w:t>11</w:t>
            </w:r>
            <w:r w:rsidR="00D737EB">
              <w:rPr>
                <w:webHidden/>
              </w:rPr>
              <w:fldChar w:fldCharType="end"/>
            </w:r>
          </w:hyperlink>
        </w:p>
        <w:p w:rsidR="00D737EB" w:rsidRDefault="00EE2141" w14:paraId="506B509A" w14:textId="1B9E4AB6">
          <w:pPr>
            <w:pStyle w:val="TOC1"/>
            <w:rPr>
              <w:rFonts w:asciiTheme="minorHAnsi" w:hAnsiTheme="minorHAnsi" w:eastAsiaTheme="minorEastAsia"/>
              <w:b w:val="0"/>
              <w:kern w:val="2"/>
              <w:sz w:val="22"/>
              <w:lang w:eastAsia="en-AU"/>
              <w14:ligatures w14:val="standardContextual"/>
            </w:rPr>
          </w:pPr>
          <w:hyperlink w:history="1" w:anchor="_Toc166852416">
            <w:r w:rsidRPr="00FE3A56" w:rsidR="00D737EB">
              <w:rPr>
                <w:rStyle w:val="Hyperlink"/>
              </w:rPr>
              <w:t>Appendix 1: More information</w:t>
            </w:r>
            <w:r w:rsidR="00D737EB">
              <w:rPr>
                <w:webHidden/>
              </w:rPr>
              <w:tab/>
            </w:r>
            <w:r w:rsidR="00D737EB">
              <w:rPr>
                <w:webHidden/>
              </w:rPr>
              <w:fldChar w:fldCharType="begin"/>
            </w:r>
            <w:r w:rsidR="00D737EB">
              <w:rPr>
                <w:webHidden/>
              </w:rPr>
              <w:instrText xml:space="preserve"> PAGEREF _Toc166852416 \h </w:instrText>
            </w:r>
            <w:r w:rsidR="00D737EB">
              <w:rPr>
                <w:webHidden/>
              </w:rPr>
            </w:r>
            <w:r w:rsidR="00D737EB">
              <w:rPr>
                <w:webHidden/>
              </w:rPr>
              <w:fldChar w:fldCharType="separate"/>
            </w:r>
            <w:r w:rsidR="00D737EB">
              <w:rPr>
                <w:webHidden/>
              </w:rPr>
              <w:t>12</w:t>
            </w:r>
            <w:r w:rsidR="00D737EB">
              <w:rPr>
                <w:webHidden/>
              </w:rPr>
              <w:fldChar w:fldCharType="end"/>
            </w:r>
          </w:hyperlink>
        </w:p>
        <w:p w:rsidR="00D737EB" w:rsidRDefault="00EE2141" w14:paraId="40000A4C" w14:textId="17ABFADC">
          <w:pPr>
            <w:pStyle w:val="TOC2"/>
            <w:rPr>
              <w:rFonts w:asciiTheme="minorHAnsi" w:hAnsiTheme="minorHAnsi" w:eastAsiaTheme="minorEastAsia"/>
              <w:kern w:val="2"/>
              <w:sz w:val="22"/>
              <w:lang w:eastAsia="en-AU"/>
              <w14:ligatures w14:val="standardContextual"/>
            </w:rPr>
          </w:pPr>
          <w:hyperlink w:history="1" w:anchor="_Toc166852417">
            <w:r w:rsidRPr="00FE3A56" w:rsidR="00D737EB">
              <w:rPr>
                <w:rStyle w:val="Hyperlink"/>
              </w:rPr>
              <w:t>Acts</w:t>
            </w:r>
            <w:r w:rsidR="00D737EB">
              <w:rPr>
                <w:webHidden/>
              </w:rPr>
              <w:tab/>
            </w:r>
            <w:r w:rsidR="00D737EB">
              <w:rPr>
                <w:webHidden/>
              </w:rPr>
              <w:fldChar w:fldCharType="begin"/>
            </w:r>
            <w:r w:rsidR="00D737EB">
              <w:rPr>
                <w:webHidden/>
              </w:rPr>
              <w:instrText xml:space="preserve"> PAGEREF _Toc166852417 \h </w:instrText>
            </w:r>
            <w:r w:rsidR="00D737EB">
              <w:rPr>
                <w:webHidden/>
              </w:rPr>
            </w:r>
            <w:r w:rsidR="00D737EB">
              <w:rPr>
                <w:webHidden/>
              </w:rPr>
              <w:fldChar w:fldCharType="separate"/>
            </w:r>
            <w:r w:rsidR="00D737EB">
              <w:rPr>
                <w:webHidden/>
              </w:rPr>
              <w:t>12</w:t>
            </w:r>
            <w:r w:rsidR="00D737EB">
              <w:rPr>
                <w:webHidden/>
              </w:rPr>
              <w:fldChar w:fldCharType="end"/>
            </w:r>
          </w:hyperlink>
        </w:p>
        <w:p w:rsidR="00D737EB" w:rsidRDefault="00EE2141" w14:paraId="5C97E418" w14:textId="1C90F521">
          <w:pPr>
            <w:pStyle w:val="TOC2"/>
            <w:rPr>
              <w:rFonts w:asciiTheme="minorHAnsi" w:hAnsiTheme="minorHAnsi" w:eastAsiaTheme="minorEastAsia"/>
              <w:kern w:val="2"/>
              <w:sz w:val="22"/>
              <w:lang w:eastAsia="en-AU"/>
              <w14:ligatures w14:val="standardContextual"/>
            </w:rPr>
          </w:pPr>
          <w:hyperlink w:history="1" w:anchor="_Toc166852418">
            <w:r w:rsidRPr="00FE3A56" w:rsidR="00D737EB">
              <w:rPr>
                <w:rStyle w:val="Hyperlink"/>
              </w:rPr>
              <w:t>Glossary of terms</w:t>
            </w:r>
            <w:r w:rsidR="00D737EB">
              <w:rPr>
                <w:webHidden/>
              </w:rPr>
              <w:tab/>
            </w:r>
            <w:r w:rsidR="00D737EB">
              <w:rPr>
                <w:webHidden/>
              </w:rPr>
              <w:fldChar w:fldCharType="begin"/>
            </w:r>
            <w:r w:rsidR="00D737EB">
              <w:rPr>
                <w:webHidden/>
              </w:rPr>
              <w:instrText xml:space="preserve"> PAGEREF _Toc166852418 \h </w:instrText>
            </w:r>
            <w:r w:rsidR="00D737EB">
              <w:rPr>
                <w:webHidden/>
              </w:rPr>
            </w:r>
            <w:r w:rsidR="00D737EB">
              <w:rPr>
                <w:webHidden/>
              </w:rPr>
              <w:fldChar w:fldCharType="separate"/>
            </w:r>
            <w:r w:rsidR="00D737EB">
              <w:rPr>
                <w:webHidden/>
              </w:rPr>
              <w:t>13</w:t>
            </w:r>
            <w:r w:rsidR="00D737EB">
              <w:rPr>
                <w:webHidden/>
              </w:rPr>
              <w:fldChar w:fldCharType="end"/>
            </w:r>
          </w:hyperlink>
        </w:p>
        <w:p w:rsidR="00D737EB" w:rsidRDefault="00EE2141" w14:paraId="4A16486E" w14:textId="2367A80E">
          <w:pPr>
            <w:pStyle w:val="TOC1"/>
            <w:rPr>
              <w:rFonts w:asciiTheme="minorHAnsi" w:hAnsiTheme="minorHAnsi" w:eastAsiaTheme="minorEastAsia"/>
              <w:b w:val="0"/>
              <w:kern w:val="2"/>
              <w:sz w:val="22"/>
              <w:lang w:eastAsia="en-AU"/>
              <w14:ligatures w14:val="standardContextual"/>
            </w:rPr>
          </w:pPr>
          <w:hyperlink w:history="1" w:anchor="_Toc166852419">
            <w:r w:rsidRPr="00FE3A56" w:rsidR="00D737EB">
              <w:rPr>
                <w:rStyle w:val="Hyperlink"/>
              </w:rPr>
              <w:t>Appendix 2: Key actions for SDA providers from 1 July 2024</w:t>
            </w:r>
            <w:r w:rsidR="00D737EB">
              <w:rPr>
                <w:webHidden/>
              </w:rPr>
              <w:tab/>
            </w:r>
            <w:r w:rsidR="00D737EB">
              <w:rPr>
                <w:webHidden/>
              </w:rPr>
              <w:fldChar w:fldCharType="begin"/>
            </w:r>
            <w:r w:rsidR="00D737EB">
              <w:rPr>
                <w:webHidden/>
              </w:rPr>
              <w:instrText xml:space="preserve"> PAGEREF _Toc166852419 \h </w:instrText>
            </w:r>
            <w:r w:rsidR="00D737EB">
              <w:rPr>
                <w:webHidden/>
              </w:rPr>
            </w:r>
            <w:r w:rsidR="00D737EB">
              <w:rPr>
                <w:webHidden/>
              </w:rPr>
              <w:fldChar w:fldCharType="separate"/>
            </w:r>
            <w:r w:rsidR="00D737EB">
              <w:rPr>
                <w:webHidden/>
              </w:rPr>
              <w:t>15</w:t>
            </w:r>
            <w:r w:rsidR="00D737EB">
              <w:rPr>
                <w:webHidden/>
              </w:rPr>
              <w:fldChar w:fldCharType="end"/>
            </w:r>
          </w:hyperlink>
        </w:p>
        <w:p w:rsidR="00D737EB" w:rsidRDefault="00EE2141" w14:paraId="53E58A63" w14:textId="24A51CAA">
          <w:pPr>
            <w:pStyle w:val="TOC1"/>
            <w:rPr>
              <w:rFonts w:asciiTheme="minorHAnsi" w:hAnsiTheme="minorHAnsi" w:eastAsiaTheme="minorEastAsia"/>
              <w:b w:val="0"/>
              <w:kern w:val="2"/>
              <w:sz w:val="22"/>
              <w:lang w:eastAsia="en-AU"/>
              <w14:ligatures w14:val="standardContextual"/>
            </w:rPr>
          </w:pPr>
          <w:hyperlink w:history="1" w:anchor="_Toc166852420">
            <w:r w:rsidRPr="00FE3A56" w:rsidR="00D737EB">
              <w:rPr>
                <w:rStyle w:val="Hyperlink"/>
              </w:rPr>
              <w:t>Appendix 3: Case studies</w:t>
            </w:r>
            <w:r w:rsidR="00D737EB">
              <w:rPr>
                <w:webHidden/>
              </w:rPr>
              <w:tab/>
            </w:r>
            <w:r w:rsidR="00D737EB">
              <w:rPr>
                <w:webHidden/>
              </w:rPr>
              <w:fldChar w:fldCharType="begin"/>
            </w:r>
            <w:r w:rsidR="00D737EB">
              <w:rPr>
                <w:webHidden/>
              </w:rPr>
              <w:instrText xml:space="preserve"> PAGEREF _Toc166852420 \h </w:instrText>
            </w:r>
            <w:r w:rsidR="00D737EB">
              <w:rPr>
                <w:webHidden/>
              </w:rPr>
            </w:r>
            <w:r w:rsidR="00D737EB">
              <w:rPr>
                <w:webHidden/>
              </w:rPr>
              <w:fldChar w:fldCharType="separate"/>
            </w:r>
            <w:r w:rsidR="00D737EB">
              <w:rPr>
                <w:webHidden/>
              </w:rPr>
              <w:t>18</w:t>
            </w:r>
            <w:r w:rsidR="00D737EB">
              <w:rPr>
                <w:webHidden/>
              </w:rPr>
              <w:fldChar w:fldCharType="end"/>
            </w:r>
          </w:hyperlink>
        </w:p>
        <w:p w:rsidR="00D737EB" w:rsidRDefault="00EE2141" w14:paraId="27FADD6B" w14:textId="06E5C99D">
          <w:pPr>
            <w:pStyle w:val="TOC2"/>
            <w:rPr>
              <w:rFonts w:asciiTheme="minorHAnsi" w:hAnsiTheme="minorHAnsi" w:eastAsiaTheme="minorEastAsia"/>
              <w:kern w:val="2"/>
              <w:sz w:val="22"/>
              <w:lang w:eastAsia="en-AU"/>
              <w14:ligatures w14:val="standardContextual"/>
            </w:rPr>
          </w:pPr>
          <w:hyperlink w:history="1" w:anchor="_Toc166852421">
            <w:r w:rsidRPr="00FE3A56" w:rsidR="00D737EB">
              <w:rPr>
                <w:rStyle w:val="Hyperlink"/>
              </w:rPr>
              <w:t>Case study 1 – NDIS SIL accommodation under residential rental agreement</w:t>
            </w:r>
            <w:r w:rsidR="00D737EB">
              <w:rPr>
                <w:webHidden/>
              </w:rPr>
              <w:tab/>
            </w:r>
            <w:r w:rsidR="00D737EB">
              <w:rPr>
                <w:webHidden/>
              </w:rPr>
              <w:fldChar w:fldCharType="begin"/>
            </w:r>
            <w:r w:rsidR="00D737EB">
              <w:rPr>
                <w:webHidden/>
              </w:rPr>
              <w:instrText xml:space="preserve"> PAGEREF _Toc166852421 \h </w:instrText>
            </w:r>
            <w:r w:rsidR="00D737EB">
              <w:rPr>
                <w:webHidden/>
              </w:rPr>
            </w:r>
            <w:r w:rsidR="00D737EB">
              <w:rPr>
                <w:webHidden/>
              </w:rPr>
              <w:fldChar w:fldCharType="separate"/>
            </w:r>
            <w:r w:rsidR="00D737EB">
              <w:rPr>
                <w:webHidden/>
              </w:rPr>
              <w:t>18</w:t>
            </w:r>
            <w:r w:rsidR="00D737EB">
              <w:rPr>
                <w:webHidden/>
              </w:rPr>
              <w:fldChar w:fldCharType="end"/>
            </w:r>
          </w:hyperlink>
        </w:p>
        <w:p w:rsidR="00D737EB" w:rsidRDefault="00EE2141" w14:paraId="5E0D2976" w14:textId="17021740">
          <w:pPr>
            <w:pStyle w:val="TOC3"/>
            <w:rPr>
              <w:rFonts w:asciiTheme="minorHAnsi" w:hAnsiTheme="minorHAnsi" w:eastAsiaTheme="minorEastAsia" w:cstheme="minorBidi"/>
              <w:noProof/>
              <w:kern w:val="2"/>
              <w:sz w:val="22"/>
              <w:lang w:eastAsia="en-AU"/>
              <w14:ligatures w14:val="standardContextual"/>
            </w:rPr>
          </w:pPr>
          <w:hyperlink w:history="1" w:anchor="_Toc166852422">
            <w:r w:rsidRPr="00FE3A56" w:rsidR="00D737EB">
              <w:rPr>
                <w:rStyle w:val="Hyperlink"/>
                <w:noProof/>
              </w:rPr>
              <w:t>Summary</w:t>
            </w:r>
            <w:r w:rsidR="00D737EB">
              <w:rPr>
                <w:noProof/>
                <w:webHidden/>
              </w:rPr>
              <w:tab/>
            </w:r>
            <w:r w:rsidR="00D737EB">
              <w:rPr>
                <w:noProof/>
                <w:webHidden/>
              </w:rPr>
              <w:fldChar w:fldCharType="begin"/>
            </w:r>
            <w:r w:rsidR="00D737EB">
              <w:rPr>
                <w:noProof/>
                <w:webHidden/>
              </w:rPr>
              <w:instrText xml:space="preserve"> PAGEREF _Toc166852422 \h </w:instrText>
            </w:r>
            <w:r w:rsidR="00D737EB">
              <w:rPr>
                <w:noProof/>
                <w:webHidden/>
              </w:rPr>
            </w:r>
            <w:r w:rsidR="00D737EB">
              <w:rPr>
                <w:noProof/>
                <w:webHidden/>
              </w:rPr>
              <w:fldChar w:fldCharType="separate"/>
            </w:r>
            <w:r w:rsidR="00D737EB">
              <w:rPr>
                <w:noProof/>
                <w:webHidden/>
              </w:rPr>
              <w:t>18</w:t>
            </w:r>
            <w:r w:rsidR="00D737EB">
              <w:rPr>
                <w:noProof/>
                <w:webHidden/>
              </w:rPr>
              <w:fldChar w:fldCharType="end"/>
            </w:r>
          </w:hyperlink>
        </w:p>
        <w:p w:rsidR="00D737EB" w:rsidRDefault="00EE2141" w14:paraId="39FC7AAB" w14:textId="0609AC73">
          <w:pPr>
            <w:pStyle w:val="TOC3"/>
            <w:rPr>
              <w:rFonts w:asciiTheme="minorHAnsi" w:hAnsiTheme="minorHAnsi" w:eastAsiaTheme="minorEastAsia" w:cstheme="minorBidi"/>
              <w:noProof/>
              <w:kern w:val="2"/>
              <w:sz w:val="22"/>
              <w:lang w:eastAsia="en-AU"/>
              <w14:ligatures w14:val="standardContextual"/>
            </w:rPr>
          </w:pPr>
          <w:hyperlink w:history="1" w:anchor="_Toc166852423">
            <w:r w:rsidRPr="00FE3A56" w:rsidR="00D737EB">
              <w:rPr>
                <w:rStyle w:val="Hyperlink"/>
                <w:noProof/>
              </w:rPr>
              <w:t>What the changes mean for this provider</w:t>
            </w:r>
            <w:r w:rsidR="00D737EB">
              <w:rPr>
                <w:noProof/>
                <w:webHidden/>
              </w:rPr>
              <w:tab/>
            </w:r>
            <w:r w:rsidR="00D737EB">
              <w:rPr>
                <w:noProof/>
                <w:webHidden/>
              </w:rPr>
              <w:fldChar w:fldCharType="begin"/>
            </w:r>
            <w:r w:rsidR="00D737EB">
              <w:rPr>
                <w:noProof/>
                <w:webHidden/>
              </w:rPr>
              <w:instrText xml:space="preserve"> PAGEREF _Toc166852423 \h </w:instrText>
            </w:r>
            <w:r w:rsidR="00D737EB">
              <w:rPr>
                <w:noProof/>
                <w:webHidden/>
              </w:rPr>
            </w:r>
            <w:r w:rsidR="00D737EB">
              <w:rPr>
                <w:noProof/>
                <w:webHidden/>
              </w:rPr>
              <w:fldChar w:fldCharType="separate"/>
            </w:r>
            <w:r w:rsidR="00D737EB">
              <w:rPr>
                <w:noProof/>
                <w:webHidden/>
              </w:rPr>
              <w:t>18</w:t>
            </w:r>
            <w:r w:rsidR="00D737EB">
              <w:rPr>
                <w:noProof/>
                <w:webHidden/>
              </w:rPr>
              <w:fldChar w:fldCharType="end"/>
            </w:r>
          </w:hyperlink>
        </w:p>
        <w:p w:rsidR="00D737EB" w:rsidRDefault="00EE2141" w14:paraId="25FAD40E" w14:textId="5D290B85">
          <w:pPr>
            <w:pStyle w:val="TOC2"/>
            <w:rPr>
              <w:rFonts w:asciiTheme="minorHAnsi" w:hAnsiTheme="minorHAnsi" w:eastAsiaTheme="minorEastAsia"/>
              <w:kern w:val="2"/>
              <w:sz w:val="22"/>
              <w:lang w:eastAsia="en-AU"/>
              <w14:ligatures w14:val="standardContextual"/>
            </w:rPr>
          </w:pPr>
          <w:hyperlink w:history="1" w:anchor="_Toc166852424">
            <w:r w:rsidRPr="00FE3A56" w:rsidR="00D737EB">
              <w:rPr>
                <w:rStyle w:val="Hyperlink"/>
              </w:rPr>
              <w:t>Case study 2 – SDA enrolled dwelling under SDA residency agreement</w:t>
            </w:r>
            <w:r w:rsidR="00D737EB">
              <w:rPr>
                <w:webHidden/>
              </w:rPr>
              <w:tab/>
            </w:r>
            <w:r w:rsidR="00D737EB">
              <w:rPr>
                <w:webHidden/>
              </w:rPr>
              <w:fldChar w:fldCharType="begin"/>
            </w:r>
            <w:r w:rsidR="00D737EB">
              <w:rPr>
                <w:webHidden/>
              </w:rPr>
              <w:instrText xml:space="preserve"> PAGEREF _Toc166852424 \h </w:instrText>
            </w:r>
            <w:r w:rsidR="00D737EB">
              <w:rPr>
                <w:webHidden/>
              </w:rPr>
            </w:r>
            <w:r w:rsidR="00D737EB">
              <w:rPr>
                <w:webHidden/>
              </w:rPr>
              <w:fldChar w:fldCharType="separate"/>
            </w:r>
            <w:r w:rsidR="00D737EB">
              <w:rPr>
                <w:webHidden/>
              </w:rPr>
              <w:t>19</w:t>
            </w:r>
            <w:r w:rsidR="00D737EB">
              <w:rPr>
                <w:webHidden/>
              </w:rPr>
              <w:fldChar w:fldCharType="end"/>
            </w:r>
          </w:hyperlink>
        </w:p>
        <w:p w:rsidR="00D737EB" w:rsidRDefault="00EE2141" w14:paraId="22A5E013" w14:textId="3F98D04B">
          <w:pPr>
            <w:pStyle w:val="TOC3"/>
            <w:rPr>
              <w:rFonts w:asciiTheme="minorHAnsi" w:hAnsiTheme="minorHAnsi" w:eastAsiaTheme="minorEastAsia" w:cstheme="minorBidi"/>
              <w:noProof/>
              <w:kern w:val="2"/>
              <w:sz w:val="22"/>
              <w:lang w:eastAsia="en-AU"/>
              <w14:ligatures w14:val="standardContextual"/>
            </w:rPr>
          </w:pPr>
          <w:hyperlink w:history="1" w:anchor="_Toc166852425">
            <w:r w:rsidRPr="00FE3A56" w:rsidR="00D737EB">
              <w:rPr>
                <w:rStyle w:val="Hyperlink"/>
                <w:noProof/>
              </w:rPr>
              <w:t>Summary</w:t>
            </w:r>
            <w:r w:rsidR="00D737EB">
              <w:rPr>
                <w:noProof/>
                <w:webHidden/>
              </w:rPr>
              <w:tab/>
            </w:r>
            <w:r w:rsidR="00D737EB">
              <w:rPr>
                <w:noProof/>
                <w:webHidden/>
              </w:rPr>
              <w:fldChar w:fldCharType="begin"/>
            </w:r>
            <w:r w:rsidR="00D737EB">
              <w:rPr>
                <w:noProof/>
                <w:webHidden/>
              </w:rPr>
              <w:instrText xml:space="preserve"> PAGEREF _Toc166852425 \h </w:instrText>
            </w:r>
            <w:r w:rsidR="00D737EB">
              <w:rPr>
                <w:noProof/>
                <w:webHidden/>
              </w:rPr>
            </w:r>
            <w:r w:rsidR="00D737EB">
              <w:rPr>
                <w:noProof/>
                <w:webHidden/>
              </w:rPr>
              <w:fldChar w:fldCharType="separate"/>
            </w:r>
            <w:r w:rsidR="00D737EB">
              <w:rPr>
                <w:noProof/>
                <w:webHidden/>
              </w:rPr>
              <w:t>19</w:t>
            </w:r>
            <w:r w:rsidR="00D737EB">
              <w:rPr>
                <w:noProof/>
                <w:webHidden/>
              </w:rPr>
              <w:fldChar w:fldCharType="end"/>
            </w:r>
          </w:hyperlink>
        </w:p>
        <w:p w:rsidR="00D737EB" w:rsidRDefault="00EE2141" w14:paraId="5091FB37" w14:textId="57EEC0FD">
          <w:pPr>
            <w:pStyle w:val="TOC3"/>
            <w:rPr>
              <w:rFonts w:asciiTheme="minorHAnsi" w:hAnsiTheme="minorHAnsi" w:eastAsiaTheme="minorEastAsia" w:cstheme="minorBidi"/>
              <w:noProof/>
              <w:kern w:val="2"/>
              <w:sz w:val="22"/>
              <w:lang w:eastAsia="en-AU"/>
              <w14:ligatures w14:val="standardContextual"/>
            </w:rPr>
          </w:pPr>
          <w:hyperlink w:history="1" w:anchor="_Toc166852426">
            <w:r w:rsidRPr="00FE3A56" w:rsidR="00D737EB">
              <w:rPr>
                <w:rStyle w:val="Hyperlink"/>
                <w:noProof/>
              </w:rPr>
              <w:t>What the changes mean for this provider</w:t>
            </w:r>
            <w:r w:rsidR="00D737EB">
              <w:rPr>
                <w:noProof/>
                <w:webHidden/>
              </w:rPr>
              <w:tab/>
            </w:r>
            <w:r w:rsidR="00D737EB">
              <w:rPr>
                <w:noProof/>
                <w:webHidden/>
              </w:rPr>
              <w:fldChar w:fldCharType="begin"/>
            </w:r>
            <w:r w:rsidR="00D737EB">
              <w:rPr>
                <w:noProof/>
                <w:webHidden/>
              </w:rPr>
              <w:instrText xml:space="preserve"> PAGEREF _Toc166852426 \h </w:instrText>
            </w:r>
            <w:r w:rsidR="00D737EB">
              <w:rPr>
                <w:noProof/>
                <w:webHidden/>
              </w:rPr>
            </w:r>
            <w:r w:rsidR="00D737EB">
              <w:rPr>
                <w:noProof/>
                <w:webHidden/>
              </w:rPr>
              <w:fldChar w:fldCharType="separate"/>
            </w:r>
            <w:r w:rsidR="00D737EB">
              <w:rPr>
                <w:noProof/>
                <w:webHidden/>
              </w:rPr>
              <w:t>19</w:t>
            </w:r>
            <w:r w:rsidR="00D737EB">
              <w:rPr>
                <w:noProof/>
                <w:webHidden/>
              </w:rPr>
              <w:fldChar w:fldCharType="end"/>
            </w:r>
          </w:hyperlink>
        </w:p>
        <w:p w:rsidR="00D737EB" w:rsidRDefault="00EE2141" w14:paraId="0B5F3D4F" w14:textId="53D0B0D5">
          <w:pPr>
            <w:pStyle w:val="TOC2"/>
            <w:rPr>
              <w:rFonts w:asciiTheme="minorHAnsi" w:hAnsiTheme="minorHAnsi" w:eastAsiaTheme="minorEastAsia"/>
              <w:kern w:val="2"/>
              <w:sz w:val="22"/>
              <w:lang w:eastAsia="en-AU"/>
              <w14:ligatures w14:val="standardContextual"/>
            </w:rPr>
          </w:pPr>
          <w:hyperlink w:history="1" w:anchor="_Toc166852427">
            <w:r w:rsidRPr="00FE3A56" w:rsidR="00D737EB">
              <w:rPr>
                <w:rStyle w:val="Hyperlink"/>
              </w:rPr>
              <w:t>Case study 3 – Short-term accommodation, short-term NDIS SIL and NDIS medium-term accommodation</w:t>
            </w:r>
            <w:r w:rsidR="00D737EB">
              <w:rPr>
                <w:webHidden/>
              </w:rPr>
              <w:tab/>
            </w:r>
            <w:r w:rsidR="00D737EB">
              <w:rPr>
                <w:webHidden/>
              </w:rPr>
              <w:fldChar w:fldCharType="begin"/>
            </w:r>
            <w:r w:rsidR="00D737EB">
              <w:rPr>
                <w:webHidden/>
              </w:rPr>
              <w:instrText xml:space="preserve"> PAGEREF _Toc166852427 \h </w:instrText>
            </w:r>
            <w:r w:rsidR="00D737EB">
              <w:rPr>
                <w:webHidden/>
              </w:rPr>
            </w:r>
            <w:r w:rsidR="00D737EB">
              <w:rPr>
                <w:webHidden/>
              </w:rPr>
              <w:fldChar w:fldCharType="separate"/>
            </w:r>
            <w:r w:rsidR="00D737EB">
              <w:rPr>
                <w:webHidden/>
              </w:rPr>
              <w:t>19</w:t>
            </w:r>
            <w:r w:rsidR="00D737EB">
              <w:rPr>
                <w:webHidden/>
              </w:rPr>
              <w:fldChar w:fldCharType="end"/>
            </w:r>
          </w:hyperlink>
        </w:p>
        <w:p w:rsidR="00D737EB" w:rsidRDefault="00EE2141" w14:paraId="5FBFA862" w14:textId="73C582C4">
          <w:pPr>
            <w:pStyle w:val="TOC3"/>
            <w:rPr>
              <w:rFonts w:asciiTheme="minorHAnsi" w:hAnsiTheme="minorHAnsi" w:eastAsiaTheme="minorEastAsia" w:cstheme="minorBidi"/>
              <w:noProof/>
              <w:kern w:val="2"/>
              <w:sz w:val="22"/>
              <w:lang w:eastAsia="en-AU"/>
              <w14:ligatures w14:val="standardContextual"/>
            </w:rPr>
          </w:pPr>
          <w:hyperlink w:history="1" w:anchor="_Toc166852428">
            <w:r w:rsidRPr="00FE3A56" w:rsidR="00D737EB">
              <w:rPr>
                <w:rStyle w:val="Hyperlink"/>
                <w:noProof/>
              </w:rPr>
              <w:t>Summary</w:t>
            </w:r>
            <w:r w:rsidR="00D737EB">
              <w:rPr>
                <w:noProof/>
                <w:webHidden/>
              </w:rPr>
              <w:tab/>
            </w:r>
            <w:r w:rsidR="00D737EB">
              <w:rPr>
                <w:noProof/>
                <w:webHidden/>
              </w:rPr>
              <w:fldChar w:fldCharType="begin"/>
            </w:r>
            <w:r w:rsidR="00D737EB">
              <w:rPr>
                <w:noProof/>
                <w:webHidden/>
              </w:rPr>
              <w:instrText xml:space="preserve"> PAGEREF _Toc166852428 \h </w:instrText>
            </w:r>
            <w:r w:rsidR="00D737EB">
              <w:rPr>
                <w:noProof/>
                <w:webHidden/>
              </w:rPr>
            </w:r>
            <w:r w:rsidR="00D737EB">
              <w:rPr>
                <w:noProof/>
                <w:webHidden/>
              </w:rPr>
              <w:fldChar w:fldCharType="separate"/>
            </w:r>
            <w:r w:rsidR="00D737EB">
              <w:rPr>
                <w:noProof/>
                <w:webHidden/>
              </w:rPr>
              <w:t>19</w:t>
            </w:r>
            <w:r w:rsidR="00D737EB">
              <w:rPr>
                <w:noProof/>
                <w:webHidden/>
              </w:rPr>
              <w:fldChar w:fldCharType="end"/>
            </w:r>
          </w:hyperlink>
        </w:p>
        <w:p w:rsidR="00D737EB" w:rsidRDefault="00EE2141" w14:paraId="56ABA9A4" w14:textId="523F6B07">
          <w:pPr>
            <w:pStyle w:val="TOC3"/>
            <w:rPr>
              <w:rFonts w:asciiTheme="minorHAnsi" w:hAnsiTheme="minorHAnsi" w:eastAsiaTheme="minorEastAsia" w:cstheme="minorBidi"/>
              <w:noProof/>
              <w:kern w:val="2"/>
              <w:sz w:val="22"/>
              <w:lang w:eastAsia="en-AU"/>
              <w14:ligatures w14:val="standardContextual"/>
            </w:rPr>
          </w:pPr>
          <w:hyperlink w:history="1" w:anchor="_Toc166852429">
            <w:r w:rsidRPr="00FE3A56" w:rsidR="00D737EB">
              <w:rPr>
                <w:rStyle w:val="Hyperlink"/>
                <w:noProof/>
              </w:rPr>
              <w:t>What the changes mean for this provider</w:t>
            </w:r>
            <w:r w:rsidR="00D737EB">
              <w:rPr>
                <w:noProof/>
                <w:webHidden/>
              </w:rPr>
              <w:tab/>
            </w:r>
            <w:r w:rsidR="00D737EB">
              <w:rPr>
                <w:noProof/>
                <w:webHidden/>
              </w:rPr>
              <w:fldChar w:fldCharType="begin"/>
            </w:r>
            <w:r w:rsidR="00D737EB">
              <w:rPr>
                <w:noProof/>
                <w:webHidden/>
              </w:rPr>
              <w:instrText xml:space="preserve"> PAGEREF _Toc166852429 \h </w:instrText>
            </w:r>
            <w:r w:rsidR="00D737EB">
              <w:rPr>
                <w:noProof/>
                <w:webHidden/>
              </w:rPr>
            </w:r>
            <w:r w:rsidR="00D737EB">
              <w:rPr>
                <w:noProof/>
                <w:webHidden/>
              </w:rPr>
              <w:fldChar w:fldCharType="separate"/>
            </w:r>
            <w:r w:rsidR="00D737EB">
              <w:rPr>
                <w:noProof/>
                <w:webHidden/>
              </w:rPr>
              <w:t>20</w:t>
            </w:r>
            <w:r w:rsidR="00D737EB">
              <w:rPr>
                <w:noProof/>
                <w:webHidden/>
              </w:rPr>
              <w:fldChar w:fldCharType="end"/>
            </w:r>
          </w:hyperlink>
        </w:p>
        <w:p w:rsidR="00D737EB" w:rsidRDefault="00EE2141" w14:paraId="1297E3F4" w14:textId="67CA0F53">
          <w:pPr>
            <w:pStyle w:val="TOC2"/>
            <w:rPr>
              <w:rFonts w:asciiTheme="minorHAnsi" w:hAnsiTheme="minorHAnsi" w:eastAsiaTheme="minorEastAsia"/>
              <w:kern w:val="2"/>
              <w:sz w:val="22"/>
              <w:lang w:eastAsia="en-AU"/>
              <w14:ligatures w14:val="standardContextual"/>
            </w:rPr>
          </w:pPr>
          <w:hyperlink w:history="1" w:anchor="_Toc166852430">
            <w:r w:rsidRPr="00FE3A56" w:rsidR="00D737EB">
              <w:rPr>
                <w:rStyle w:val="Hyperlink"/>
              </w:rPr>
              <w:t>Other accommodation arrangements</w:t>
            </w:r>
            <w:r w:rsidR="00D737EB">
              <w:rPr>
                <w:webHidden/>
              </w:rPr>
              <w:tab/>
            </w:r>
            <w:r w:rsidR="00D737EB">
              <w:rPr>
                <w:webHidden/>
              </w:rPr>
              <w:fldChar w:fldCharType="begin"/>
            </w:r>
            <w:r w:rsidR="00D737EB">
              <w:rPr>
                <w:webHidden/>
              </w:rPr>
              <w:instrText xml:space="preserve"> PAGEREF _Toc166852430 \h </w:instrText>
            </w:r>
            <w:r w:rsidR="00D737EB">
              <w:rPr>
                <w:webHidden/>
              </w:rPr>
            </w:r>
            <w:r w:rsidR="00D737EB">
              <w:rPr>
                <w:webHidden/>
              </w:rPr>
              <w:fldChar w:fldCharType="separate"/>
            </w:r>
            <w:r w:rsidR="00D737EB">
              <w:rPr>
                <w:webHidden/>
              </w:rPr>
              <w:t>20</w:t>
            </w:r>
            <w:r w:rsidR="00D737EB">
              <w:rPr>
                <w:webHidden/>
              </w:rPr>
              <w:fldChar w:fldCharType="end"/>
            </w:r>
          </w:hyperlink>
        </w:p>
        <w:p w:rsidR="00D737EB" w:rsidRDefault="00EE2141" w14:paraId="6810C647" w14:textId="7D1179C2">
          <w:pPr>
            <w:pStyle w:val="TOC1"/>
            <w:rPr>
              <w:rFonts w:asciiTheme="minorHAnsi" w:hAnsiTheme="minorHAnsi" w:eastAsiaTheme="minorEastAsia"/>
              <w:b w:val="0"/>
              <w:kern w:val="2"/>
              <w:sz w:val="22"/>
              <w:lang w:eastAsia="en-AU"/>
              <w14:ligatures w14:val="standardContextual"/>
            </w:rPr>
          </w:pPr>
          <w:hyperlink w:history="1" w:anchor="_Toc166852431">
            <w:r w:rsidRPr="00FE3A56" w:rsidR="00D737EB">
              <w:rPr>
                <w:rStyle w:val="Hyperlink"/>
              </w:rPr>
              <w:t xml:space="preserve">Appendix 4: Extract of key definitions in the </w:t>
            </w:r>
            <w:r w:rsidRPr="00FE3A56" w:rsidR="00D737EB">
              <w:rPr>
                <w:rStyle w:val="Hyperlink"/>
                <w:i/>
                <w:iCs/>
              </w:rPr>
              <w:t>Residential Tenancies Act 1997</w:t>
            </w:r>
            <w:r w:rsidR="00D737EB">
              <w:rPr>
                <w:webHidden/>
              </w:rPr>
              <w:tab/>
            </w:r>
            <w:r w:rsidR="00D737EB">
              <w:rPr>
                <w:webHidden/>
              </w:rPr>
              <w:fldChar w:fldCharType="begin"/>
            </w:r>
            <w:r w:rsidR="00D737EB">
              <w:rPr>
                <w:webHidden/>
              </w:rPr>
              <w:instrText xml:space="preserve"> PAGEREF _Toc166852431 \h </w:instrText>
            </w:r>
            <w:r w:rsidR="00D737EB">
              <w:rPr>
                <w:webHidden/>
              </w:rPr>
            </w:r>
            <w:r w:rsidR="00D737EB">
              <w:rPr>
                <w:webHidden/>
              </w:rPr>
              <w:fldChar w:fldCharType="separate"/>
            </w:r>
            <w:r w:rsidR="00D737EB">
              <w:rPr>
                <w:webHidden/>
              </w:rPr>
              <w:t>20</w:t>
            </w:r>
            <w:r w:rsidR="00D737EB">
              <w:rPr>
                <w:webHidden/>
              </w:rPr>
              <w:fldChar w:fldCharType="end"/>
            </w:r>
          </w:hyperlink>
        </w:p>
        <w:p w:rsidR="00B663F9" w:rsidP="00B663F9" w:rsidRDefault="00B663F9" w14:paraId="121F5252" w14:textId="637A1305">
          <w:pPr>
            <w:rPr>
              <w:b/>
              <w:bCs/>
              <w:noProof/>
            </w:rPr>
          </w:pPr>
          <w:r w:rsidRPr="00443A5C">
            <w:rPr>
              <w:b/>
              <w:bCs/>
              <w:noProof/>
              <w:sz w:val="24"/>
              <w:szCs w:val="24"/>
            </w:rPr>
            <w:fldChar w:fldCharType="end"/>
          </w:r>
        </w:p>
      </w:sdtContent>
    </w:sdt>
    <w:p w:rsidRPr="00EC6960" w:rsidR="007B6C12" w:rsidP="00EC6960" w:rsidRDefault="00D0109E" w14:paraId="6AFA0C97" w14:textId="305F44C8">
      <w:pPr>
        <w:pStyle w:val="Heading1"/>
      </w:pPr>
      <w:bookmarkStart w:name="_Toc166852392" w:id="15"/>
      <w:bookmarkEnd w:id="13"/>
      <w:r w:rsidRPr="00EC6960">
        <w:t>Introduction</w:t>
      </w:r>
      <w:bookmarkEnd w:id="15"/>
    </w:p>
    <w:p w:rsidR="00C406A3" w:rsidP="007B6C12" w:rsidRDefault="007B6C12" w14:paraId="0C52DF75" w14:textId="5FDF3EE2">
      <w:pPr>
        <w:pStyle w:val="Body"/>
      </w:pPr>
      <w:r w:rsidRPr="006048D7">
        <w:t xml:space="preserve">The </w:t>
      </w:r>
      <w:r w:rsidRPr="006048D7">
        <w:rPr>
          <w:i/>
          <w:iCs/>
        </w:rPr>
        <w:t>Disability and Social Services Regulation Amendment Act 2023</w:t>
      </w:r>
      <w:r w:rsidRPr="006048D7">
        <w:t xml:space="preserve"> </w:t>
      </w:r>
      <w:r w:rsidR="005B5A73">
        <w:t xml:space="preserve">(Vic) </w:t>
      </w:r>
      <w:r w:rsidRPr="006048D7">
        <w:t xml:space="preserve">(the </w:t>
      </w:r>
      <w:r w:rsidRPr="00CC2C67" w:rsidR="00C23B67">
        <w:rPr>
          <w:b/>
        </w:rPr>
        <w:t>Amendment</w:t>
      </w:r>
      <w:r w:rsidR="00C23B67">
        <w:t xml:space="preserve"> </w:t>
      </w:r>
      <w:r w:rsidRPr="006048D7">
        <w:rPr>
          <w:b/>
          <w:bCs/>
        </w:rPr>
        <w:t>Act</w:t>
      </w:r>
      <w:r w:rsidRPr="006048D7">
        <w:t xml:space="preserve">) became law on </w:t>
      </w:r>
      <w:r w:rsidRPr="006048D7" w:rsidR="004C5ED7">
        <w:t>Tues</w:t>
      </w:r>
      <w:r w:rsidR="004C5ED7">
        <w:t>d</w:t>
      </w:r>
      <w:r w:rsidRPr="006048D7" w:rsidR="004C5ED7">
        <w:t>ay</w:t>
      </w:r>
      <w:r w:rsidRPr="006048D7">
        <w:t xml:space="preserve"> </w:t>
      </w:r>
      <w:r w:rsidRPr="006048D7" w:rsidR="00920769">
        <w:t>2</w:t>
      </w:r>
      <w:r w:rsidR="00920769">
        <w:t>3</w:t>
      </w:r>
      <w:r w:rsidRPr="006048D7" w:rsidR="00920769">
        <w:t xml:space="preserve"> </w:t>
      </w:r>
      <w:r w:rsidRPr="006048D7">
        <w:t xml:space="preserve">May 2023. </w:t>
      </w:r>
    </w:p>
    <w:p w:rsidR="007B6C12" w:rsidP="007B6C12" w:rsidRDefault="007B6C12" w14:paraId="15C1E3A9" w14:textId="69D105CC">
      <w:pPr>
        <w:pStyle w:val="Body"/>
      </w:pPr>
      <w:r w:rsidRPr="006048D7">
        <w:t xml:space="preserve">The </w:t>
      </w:r>
      <w:r w:rsidR="00C23B67">
        <w:t xml:space="preserve">Amendment </w:t>
      </w:r>
      <w:r w:rsidRPr="006048D7">
        <w:t xml:space="preserve">Act </w:t>
      </w:r>
      <w:r w:rsidR="002E4461">
        <w:t>makes changes to the</w:t>
      </w:r>
      <w:r w:rsidRPr="006048D7">
        <w:t xml:space="preserve"> </w:t>
      </w:r>
      <w:r w:rsidRPr="008F3D80">
        <w:rPr>
          <w:i/>
          <w:iCs/>
        </w:rPr>
        <w:t>Disability Act 2006</w:t>
      </w:r>
      <w:r w:rsidRPr="006048D7">
        <w:t xml:space="preserve"> </w:t>
      </w:r>
      <w:r w:rsidR="005B5A73">
        <w:t>(Vic)</w:t>
      </w:r>
      <w:r w:rsidRPr="006048D7" w:rsidR="005B5A73">
        <w:t xml:space="preserve"> </w:t>
      </w:r>
      <w:r w:rsidRPr="006048D7">
        <w:t>(</w:t>
      </w:r>
      <w:r w:rsidRPr="006048D7">
        <w:rPr>
          <w:b/>
          <w:bCs/>
        </w:rPr>
        <w:t>Disability Act</w:t>
      </w:r>
      <w:r w:rsidRPr="006048D7">
        <w:t xml:space="preserve">), </w:t>
      </w:r>
      <w:r w:rsidRPr="006048D7">
        <w:rPr>
          <w:i/>
          <w:iCs/>
        </w:rPr>
        <w:t>Residential Tenancies Act 1997</w:t>
      </w:r>
      <w:r w:rsidR="005B5A73">
        <w:rPr>
          <w:i/>
          <w:iCs/>
        </w:rPr>
        <w:t xml:space="preserve"> </w:t>
      </w:r>
      <w:r w:rsidR="005B5A73">
        <w:t>(Vic)</w:t>
      </w:r>
      <w:r w:rsidRPr="006048D7">
        <w:rPr>
          <w:i/>
          <w:iCs/>
        </w:rPr>
        <w:t xml:space="preserve"> </w:t>
      </w:r>
      <w:r w:rsidRPr="006048D7">
        <w:t>(</w:t>
      </w:r>
      <w:r w:rsidR="00374E5B">
        <w:rPr>
          <w:b/>
          <w:bCs/>
        </w:rPr>
        <w:t>Residential Tenancies Act</w:t>
      </w:r>
      <w:r w:rsidRPr="006048D7">
        <w:t>), and other relevant Acts to strengthen rights, protections, and safeguards for people with disability in Victoria</w:t>
      </w:r>
      <w:r>
        <w:t>.</w:t>
      </w:r>
    </w:p>
    <w:p w:rsidR="00526C9E" w:rsidP="007C6779" w:rsidRDefault="007C6779" w14:paraId="064C5CE0" w14:textId="07ADF24D">
      <w:pPr>
        <w:pStyle w:val="Body"/>
      </w:pPr>
      <w:r>
        <w:t xml:space="preserve">This summary provides an overview of </w:t>
      </w:r>
      <w:r w:rsidR="00CF73CE">
        <w:t xml:space="preserve">the </w:t>
      </w:r>
      <w:r>
        <w:t>changes to the Residential Tenancies Act.</w:t>
      </w:r>
    </w:p>
    <w:p w:rsidR="00A52AA0" w:rsidP="007C6779" w:rsidRDefault="00A52AA0" w14:paraId="708F9935" w14:textId="70B10F6D">
      <w:pPr>
        <w:pStyle w:val="Body"/>
      </w:pPr>
      <w:r>
        <w:t xml:space="preserve">These changes will </w:t>
      </w:r>
      <w:r w:rsidRPr="003F4BA4">
        <w:t>commence</w:t>
      </w:r>
      <w:r>
        <w:t xml:space="preserve"> (come into effect) on 1 July 2024. Until this time, the existing </w:t>
      </w:r>
      <w:r w:rsidR="007B2C3D">
        <w:t>provisions (</w:t>
      </w:r>
      <w:r>
        <w:t>rules</w:t>
      </w:r>
      <w:r w:rsidR="007B2C3D">
        <w:t>)</w:t>
      </w:r>
      <w:r>
        <w:t xml:space="preserve"> in the Residential Tenancies Act will continue to apply.</w:t>
      </w:r>
    </w:p>
    <w:p w:rsidR="00DF2FBA" w:rsidP="00DF2FBA" w:rsidRDefault="00DF2FBA" w14:paraId="3C98A9D0" w14:textId="4220BD60">
      <w:pPr>
        <w:pStyle w:val="Bullet1"/>
        <w:numPr>
          <w:ilvl w:val="0"/>
          <w:numId w:val="0"/>
        </w:numPr>
      </w:pPr>
      <w:r>
        <w:t>More information about the rights and obligations of specialist disability accommodation (</w:t>
      </w:r>
      <w:r w:rsidRPr="001A65B9">
        <w:rPr>
          <w:b/>
          <w:bCs/>
        </w:rPr>
        <w:t>SDA</w:t>
      </w:r>
      <w:r>
        <w:t xml:space="preserve">) providers and residents, including relevant forms and templates, are available from the </w:t>
      </w:r>
      <w:hyperlink w:history="1" r:id="rId13">
        <w:r w:rsidRPr="002B7713" w:rsidR="00EA4662">
          <w:rPr>
            <w:rStyle w:val="Hyperlink"/>
          </w:rPr>
          <w:t>Consumer Affairs Victoria website</w:t>
        </w:r>
      </w:hyperlink>
      <w:r w:rsidRPr="002B7713" w:rsidR="00EA4662">
        <w:t>.</w:t>
      </w:r>
      <w:r w:rsidRPr="002B7713" w:rsidR="00EA4662">
        <w:rPr>
          <w:rStyle w:val="FootnoteReference"/>
        </w:rPr>
        <w:footnoteReference w:id="2"/>
      </w:r>
    </w:p>
    <w:p w:rsidRPr="008A70D1" w:rsidR="008D1578" w:rsidP="008D1578" w:rsidRDefault="008D1578" w14:paraId="6B8D4857" w14:textId="1C5661F9">
      <w:pPr>
        <w:pStyle w:val="Body"/>
      </w:pPr>
      <w:r w:rsidRPr="002F18A5">
        <w:rPr>
          <w:b/>
          <w:bCs/>
        </w:rPr>
        <w:t>Note:</w:t>
      </w:r>
      <w:r>
        <w:t xml:space="preserve"> </w:t>
      </w:r>
      <w:r w:rsidRPr="008A70D1">
        <w:t xml:space="preserve">From 1 July 2024, the SDA term in the Residential Tenancies Act will have a broader meaning than the definition of SDA in the </w:t>
      </w:r>
      <w:r w:rsidRPr="00C01BD0">
        <w:t>National Disability Insurance Scheme (Specialist Disability Accommodation) Rules 2020</w:t>
      </w:r>
      <w:r w:rsidRPr="008A70D1">
        <w:t xml:space="preserve"> (Cth).</w:t>
      </w:r>
    </w:p>
    <w:p w:rsidRPr="008A70D1" w:rsidR="008D1578" w:rsidP="008D1578" w:rsidRDefault="008D1578" w14:paraId="261D1FE7" w14:textId="77777777">
      <w:pPr>
        <w:pStyle w:val="Body"/>
      </w:pPr>
      <w:r w:rsidRPr="008A70D1">
        <w:t>Under the Residential Tenancies Act, the SDA term will include:</w:t>
      </w:r>
    </w:p>
    <w:p w:rsidR="008D1578" w:rsidP="008D1578" w:rsidRDefault="008D1578" w14:paraId="465DAE52" w14:textId="77777777">
      <w:pPr>
        <w:pStyle w:val="Body"/>
        <w:numPr>
          <w:ilvl w:val="0"/>
          <w:numId w:val="18"/>
        </w:numPr>
        <w:ind w:left="426"/>
      </w:pPr>
      <w:r>
        <w:t>National Disability Insurance Scheme (</w:t>
      </w:r>
      <w:r w:rsidRPr="008D1578">
        <w:rPr>
          <w:b/>
          <w:bCs/>
        </w:rPr>
        <w:t>NDIS</w:t>
      </w:r>
      <w:r>
        <w:t>) funded SDA</w:t>
      </w:r>
    </w:p>
    <w:p w:rsidR="008D1578" w:rsidP="008D1578" w:rsidRDefault="008D1578" w14:paraId="0163C51B" w14:textId="5985229E">
      <w:pPr>
        <w:pStyle w:val="Body"/>
        <w:numPr>
          <w:ilvl w:val="0"/>
          <w:numId w:val="18"/>
        </w:numPr>
        <w:ind w:left="426"/>
      </w:pPr>
      <w:r>
        <w:t>similar types of disability accommodation and supports, including accommodation provided by NDIS supported independent living (</w:t>
      </w:r>
      <w:r w:rsidRPr="008D1578">
        <w:rPr>
          <w:b/>
          <w:bCs/>
        </w:rPr>
        <w:t>SIL</w:t>
      </w:r>
      <w:r>
        <w:t>) providers.</w:t>
      </w:r>
    </w:p>
    <w:p w:rsidR="007B2C3D" w:rsidP="008D1578" w:rsidRDefault="007B2C3D" w14:paraId="57BAC996" w14:textId="13F42097">
      <w:pPr>
        <w:pStyle w:val="Body"/>
      </w:pPr>
      <w:r>
        <w:t xml:space="preserve">This summary is provided as general information only and is not legal advice. Readers should refer directly to the latest versions of the Disability Act and the </w:t>
      </w:r>
      <w:r w:rsidRPr="007151B8">
        <w:t xml:space="preserve">Residential Tenancies Act </w:t>
      </w:r>
      <w:r>
        <w:t>and seek independent legal advice if required.</w:t>
      </w:r>
    </w:p>
    <w:p w:rsidR="007B2C3D" w:rsidP="007B2C3D" w:rsidRDefault="007B2C3D" w14:paraId="7F49294B" w14:textId="20AA0BCE">
      <w:pPr>
        <w:pStyle w:val="Heading2"/>
      </w:pPr>
      <w:bookmarkStart w:name="_Toc166852393" w:id="16"/>
      <w:r>
        <w:t>Navigating this document</w:t>
      </w:r>
      <w:bookmarkEnd w:id="16"/>
    </w:p>
    <w:p w:rsidR="00353EA6" w:rsidP="00353EA6" w:rsidRDefault="00023276" w14:paraId="5BEA00E9" w14:textId="47BF5267">
      <w:pPr>
        <w:pStyle w:val="Body"/>
      </w:pPr>
      <w:r>
        <w:t xml:space="preserve">Links to </w:t>
      </w:r>
      <w:r w:rsidR="001F57B2">
        <w:t xml:space="preserve">more information, </w:t>
      </w:r>
      <w:r>
        <w:t>relevant Acts and a</w:t>
      </w:r>
      <w:r w:rsidRPr="00E109F9" w:rsidR="00353EA6">
        <w:t xml:space="preserve"> glossary of key terms </w:t>
      </w:r>
      <w:r w:rsidR="003F4BA4">
        <w:t>used in</w:t>
      </w:r>
      <w:r w:rsidRPr="00E109F9" w:rsidR="00353EA6">
        <w:t xml:space="preserve"> this paper </w:t>
      </w:r>
      <w:r w:rsidR="001F57B2">
        <w:t>are</w:t>
      </w:r>
      <w:r w:rsidRPr="00E109F9" w:rsidR="00353EA6">
        <w:t xml:space="preserve"> provided </w:t>
      </w:r>
      <w:r w:rsidRPr="00C80589" w:rsidR="00353EA6">
        <w:t>a</w:t>
      </w:r>
      <w:r w:rsidR="00A341C8">
        <w:t xml:space="preserve">t </w:t>
      </w:r>
      <w:hyperlink w:history="1" w:anchor="_Appendix_1:_More">
        <w:r w:rsidRPr="00A341C8" w:rsidR="00A341C8">
          <w:rPr>
            <w:rStyle w:val="Hyperlink"/>
          </w:rPr>
          <w:t>Appendix 1: More information</w:t>
        </w:r>
      </w:hyperlink>
      <w:r w:rsidRPr="00C80589">
        <w:t>.</w:t>
      </w:r>
    </w:p>
    <w:p w:rsidR="00526C9E" w:rsidP="00353EA6" w:rsidRDefault="00023276" w14:paraId="370932D3" w14:textId="08DFF6D2">
      <w:pPr>
        <w:pStyle w:val="Body"/>
      </w:pPr>
      <w:r>
        <w:t>Key actions for SDA providers from 1 July 2024 are set out a</w:t>
      </w:r>
      <w:r w:rsidR="00A341C8">
        <w:t xml:space="preserve">t </w:t>
      </w:r>
      <w:hyperlink w:history="1" w:anchor="_Appendix_2:_Key_1">
        <w:r w:rsidRPr="00A341C8" w:rsidR="00A341C8">
          <w:rPr>
            <w:rStyle w:val="Hyperlink"/>
          </w:rPr>
          <w:t>Appendix 2: Key actions for SDA providers from 1 July 2024</w:t>
        </w:r>
      </w:hyperlink>
      <w:r>
        <w:t>.</w:t>
      </w:r>
    </w:p>
    <w:p w:rsidR="0051731C" w:rsidP="00353EA6" w:rsidRDefault="6D3E967E" w14:paraId="0AA30164" w14:textId="3D1F1C9C">
      <w:pPr>
        <w:pStyle w:val="Body"/>
      </w:pPr>
      <w:r>
        <w:t>Fictional c</w:t>
      </w:r>
      <w:r w:rsidR="00E152FC">
        <w:t>ase studies</w:t>
      </w:r>
      <w:r w:rsidR="00023276">
        <w:t xml:space="preserve"> to </w:t>
      </w:r>
      <w:r w:rsidR="00551887">
        <w:t>help</w:t>
      </w:r>
      <w:r w:rsidR="00023276">
        <w:t xml:space="preserve"> understand how the changes apply to different types of accommodation are provided at</w:t>
      </w:r>
      <w:r w:rsidR="00A341C8">
        <w:rPr>
          <w:b/>
          <w:bCs/>
        </w:rPr>
        <w:t xml:space="preserve"> </w:t>
      </w:r>
      <w:hyperlink w:anchor="_Appendix_3:_Case_1">
        <w:r w:rsidRPr="358F9BEF" w:rsidR="00A341C8">
          <w:rPr>
            <w:rStyle w:val="Hyperlink"/>
          </w:rPr>
          <w:t>Appendix 3: Case studies</w:t>
        </w:r>
      </w:hyperlink>
      <w:r w:rsidR="00023276">
        <w:t>.</w:t>
      </w:r>
    </w:p>
    <w:p w:rsidR="00023276" w:rsidP="00353EA6" w:rsidRDefault="00475D12" w14:paraId="41D2C7D8" w14:textId="6701B490">
      <w:pPr>
        <w:pStyle w:val="Body"/>
      </w:pPr>
      <w:r>
        <w:t>Key</w:t>
      </w:r>
      <w:r w:rsidR="00E96615">
        <w:t xml:space="preserve"> </w:t>
      </w:r>
      <w:r w:rsidR="00023276">
        <w:t xml:space="preserve">definitions from the Residential Tenancies Act </w:t>
      </w:r>
      <w:r w:rsidR="001F57B2">
        <w:t>are</w:t>
      </w:r>
      <w:r w:rsidR="00023276">
        <w:t xml:space="preserve"> provided at</w:t>
      </w:r>
      <w:r w:rsidR="00A341C8">
        <w:rPr>
          <w:b/>
          <w:bCs/>
        </w:rPr>
        <w:t xml:space="preserve"> </w:t>
      </w:r>
      <w:hyperlink w:history="1" w:anchor="_Appendix_4:_Extract">
        <w:r w:rsidRPr="00A341C8" w:rsidR="00A341C8">
          <w:rPr>
            <w:rStyle w:val="Hyperlink"/>
          </w:rPr>
          <w:t>Appendix 4: Extract of key definitions in the Residential Tenancies Act 1997</w:t>
        </w:r>
      </w:hyperlink>
      <w:r w:rsidRPr="00A341C8" w:rsidR="00023276">
        <w:t>.</w:t>
      </w:r>
    </w:p>
    <w:p w:rsidR="007B6C12" w:rsidP="00EC6960" w:rsidRDefault="00EE3993" w14:paraId="7D5275E7" w14:textId="6B5F6CA6">
      <w:pPr>
        <w:pStyle w:val="Heading1"/>
      </w:pPr>
      <w:bookmarkStart w:name="_Toc151042662" w:id="17"/>
      <w:bookmarkStart w:name="_Toc166852394" w:id="18"/>
      <w:r>
        <w:t xml:space="preserve">Summary of </w:t>
      </w:r>
      <w:r w:rsidR="00AA6218">
        <w:t>key</w:t>
      </w:r>
      <w:r>
        <w:t xml:space="preserve"> changes</w:t>
      </w:r>
      <w:bookmarkEnd w:id="17"/>
      <w:bookmarkEnd w:id="18"/>
    </w:p>
    <w:p w:rsidRPr="003F5FCD" w:rsidR="007B2C3D" w:rsidP="007B2C3D" w:rsidRDefault="007B2C3D" w14:paraId="7A09F2D9" w14:textId="77777777">
      <w:pPr>
        <w:pStyle w:val="Heading2"/>
      </w:pPr>
      <w:bookmarkStart w:name="_Toc166852395" w:id="19"/>
      <w:r w:rsidRPr="003F5FCD">
        <w:t>What are the key changes?</w:t>
      </w:r>
      <w:bookmarkEnd w:id="19"/>
    </w:p>
    <w:p w:rsidR="001A65B9" w:rsidP="001A65B9" w:rsidRDefault="001A65B9" w14:paraId="3D57DD2E" w14:textId="2F2A6DF0">
      <w:pPr>
        <w:pStyle w:val="Bullet1"/>
        <w:numPr>
          <w:ilvl w:val="0"/>
          <w:numId w:val="0"/>
        </w:numPr>
      </w:pPr>
      <w:r w:rsidR="001A65B9">
        <w:rPr/>
        <w:t xml:space="preserve">The changes will insert new definitions </w:t>
      </w:r>
      <w:r w:rsidRPr="003F4BA4" w:rsidR="001A65B9">
        <w:rPr/>
        <w:t xml:space="preserve">of SDA dwelling, SDA provider and SDA resident into the </w:t>
      </w:r>
      <w:r w:rsidRPr="00FE260D" w:rsidR="001A65B9">
        <w:rPr/>
        <w:t>Residential Tenancies Act</w:t>
      </w:r>
      <w:r w:rsidR="00FE260D">
        <w:rPr/>
        <w:t xml:space="preserve"> (refer to </w:t>
      </w:r>
      <w:hyperlink w:history="1" w:anchor="_Changes_to_definitions">
        <w:r w:rsidR="00FE260D">
          <w:rPr>
            <w:rStyle w:val="Hyperlink"/>
          </w:rPr>
          <w:t>New definitions of SDA dwelling, SDA provider and SDA resid</w:t>
        </w:r>
        <w:r w:rsidR="4B27B2E3">
          <w:rPr>
            <w:rStyle w:val="Hyperlink"/>
          </w:rPr>
          <w:t>ent</w:t>
        </w:r>
      </w:hyperlink>
      <w:r w:rsidR="00FE260D">
        <w:rPr/>
        <w:t>)</w:t>
      </w:r>
      <w:r w:rsidR="00FE260D">
        <w:rPr/>
        <w:t>.</w:t>
      </w:r>
      <w:r w:rsidRPr="00FE260D" w:rsidR="00FE260D">
        <w:rPr>
          <w:rFonts w:cs="Arial"/>
          <w:color w:val="000000"/>
          <w:shd w:val="clear" w:color="auto" w:fill="FFFF00"/>
        </w:rPr>
        <w:t xml:space="preserve"> </w:t>
      </w:r>
    </w:p>
    <w:p w:rsidR="00C2445E" w:rsidP="00C2445E" w:rsidRDefault="00C2445E" w14:paraId="4A46B53B" w14:textId="606F5058">
      <w:pPr>
        <w:pStyle w:val="Body"/>
      </w:pPr>
      <w:r>
        <w:t>The</w:t>
      </w:r>
      <w:r w:rsidR="001A65B9">
        <w:t>se changes will:</w:t>
      </w:r>
    </w:p>
    <w:p w:rsidR="00C2445E" w:rsidP="00C2445E" w:rsidRDefault="00C2445E" w14:paraId="15A36936" w14:textId="76D3F3CF">
      <w:pPr>
        <w:pStyle w:val="Bullet1"/>
      </w:pPr>
      <w:r>
        <w:t>expand the range of providers that have obligations under the Residential Tenancies Act</w:t>
      </w:r>
    </w:p>
    <w:p w:rsidR="00C2445E" w:rsidP="00C2445E" w:rsidRDefault="00C2445E" w14:paraId="3907E8C0" w14:textId="51F54521">
      <w:pPr>
        <w:pStyle w:val="Bullet1"/>
      </w:pPr>
      <w:r>
        <w:t xml:space="preserve">support more people with disability to access the enhanced residential rights protections under the Residential Tenancies Act for residents of </w:t>
      </w:r>
      <w:r w:rsidR="001A65B9">
        <w:t>SDA</w:t>
      </w:r>
      <w:r w:rsidR="000A70DD">
        <w:t>, including people who get funding from:</w:t>
      </w:r>
    </w:p>
    <w:p w:rsidR="000A70DD" w:rsidP="00D737EB" w:rsidRDefault="000A70DD" w14:paraId="4C0026D1" w14:textId="77777777">
      <w:pPr>
        <w:pStyle w:val="Bullet1"/>
        <w:numPr>
          <w:ilvl w:val="1"/>
          <w:numId w:val="8"/>
        </w:numPr>
        <w:ind w:left="709"/>
      </w:pPr>
      <w:r>
        <w:t>NDIS</w:t>
      </w:r>
    </w:p>
    <w:p w:rsidR="000A70DD" w:rsidP="00D737EB" w:rsidRDefault="000A70DD" w14:paraId="43C7E31E" w14:textId="7A19D4A8">
      <w:pPr>
        <w:pStyle w:val="Bullet1"/>
        <w:numPr>
          <w:ilvl w:val="1"/>
          <w:numId w:val="8"/>
        </w:numPr>
        <w:ind w:left="709"/>
      </w:pPr>
      <w:r>
        <w:t>Transport Accident Commission</w:t>
      </w:r>
    </w:p>
    <w:p w:rsidR="000A70DD" w:rsidP="00D737EB" w:rsidRDefault="000A70DD" w14:paraId="0D4A5FF0" w14:textId="1F4120E9">
      <w:pPr>
        <w:pStyle w:val="Bullet1"/>
        <w:numPr>
          <w:ilvl w:val="1"/>
          <w:numId w:val="8"/>
        </w:numPr>
        <w:ind w:left="709"/>
      </w:pPr>
      <w:r>
        <w:t>Victorian WorkCover Authority</w:t>
      </w:r>
    </w:p>
    <w:p w:rsidR="000A70DD" w:rsidP="00D737EB" w:rsidRDefault="000A70DD" w14:paraId="27E952CA" w14:textId="1509DA99">
      <w:pPr>
        <w:pStyle w:val="Bullet1"/>
        <w:numPr>
          <w:ilvl w:val="1"/>
          <w:numId w:val="8"/>
        </w:numPr>
        <w:ind w:left="709"/>
      </w:pPr>
      <w:r>
        <w:t>Department of Families, Fairness and Housing</w:t>
      </w:r>
    </w:p>
    <w:p w:rsidR="000A70DD" w:rsidP="00D737EB" w:rsidRDefault="000A70DD" w14:paraId="5FE42C4E" w14:textId="609987DE">
      <w:pPr>
        <w:pStyle w:val="Bullet1"/>
        <w:numPr>
          <w:ilvl w:val="1"/>
          <w:numId w:val="8"/>
        </w:numPr>
        <w:ind w:left="709"/>
      </w:pPr>
      <w:r>
        <w:t>Commonwealth Disability Support for Older Australians program</w:t>
      </w:r>
    </w:p>
    <w:p w:rsidR="000A7230" w:rsidP="00C2445E" w:rsidRDefault="00C2445E" w14:paraId="37EBC2B9" w14:textId="659184A9">
      <w:pPr>
        <w:pStyle w:val="Bullet1"/>
      </w:pPr>
      <w:r>
        <w:t>broaden the range of accommodation that community visitors can visit.</w:t>
      </w:r>
    </w:p>
    <w:p w:rsidR="00F751EC" w:rsidP="003F5FCD" w:rsidRDefault="00F751EC" w14:paraId="137500D6" w14:textId="35E839AB">
      <w:pPr>
        <w:pStyle w:val="Heading2"/>
      </w:pPr>
      <w:bookmarkStart w:name="_Toc166852396" w:id="20"/>
      <w:r>
        <w:t>Why are the changes needed?</w:t>
      </w:r>
      <w:bookmarkEnd w:id="20"/>
    </w:p>
    <w:p w:rsidR="0045449C" w:rsidP="0045449C" w:rsidRDefault="0045449C" w14:paraId="3CA284E2" w14:textId="2D24AF18">
      <w:pPr>
        <w:pStyle w:val="Body"/>
      </w:pPr>
      <w:r>
        <w:t>The changes are needed to address gaps in residential rights and protections for people living in disability accommodation in Victoria.</w:t>
      </w:r>
    </w:p>
    <w:p w:rsidR="0045449C" w:rsidP="0045449C" w:rsidRDefault="0045449C" w14:paraId="41D0B71B" w14:textId="3C52D136">
      <w:pPr>
        <w:pStyle w:val="Body"/>
      </w:pPr>
      <w:r>
        <w:t xml:space="preserve">The changes will mean that more Victorians with disability </w:t>
      </w:r>
      <w:r w:rsidR="007B2C3D">
        <w:t>can</w:t>
      </w:r>
      <w:r>
        <w:t xml:space="preserve"> access the enhanced residential protections</w:t>
      </w:r>
      <w:r w:rsidR="00386F96">
        <w:t xml:space="preserve"> </w:t>
      </w:r>
      <w:r w:rsidR="000A70DD">
        <w:t xml:space="preserve">provided by </w:t>
      </w:r>
      <w:r>
        <w:t>the Residential Tenancies Act.</w:t>
      </w:r>
    </w:p>
    <w:p w:rsidR="00993593" w:rsidP="003F5FCD" w:rsidRDefault="00993593" w14:paraId="3FCAFEEE" w14:textId="165B85E2">
      <w:pPr>
        <w:pStyle w:val="Heading2"/>
      </w:pPr>
      <w:bookmarkStart w:name="_Toc166852397" w:id="21"/>
      <w:r>
        <w:t>Wh</w:t>
      </w:r>
      <w:r w:rsidR="00344E9D">
        <w:t>at is not changing?</w:t>
      </w:r>
      <w:bookmarkEnd w:id="21"/>
    </w:p>
    <w:p w:rsidR="00D60956" w:rsidP="00D60956" w:rsidRDefault="00D60956" w14:paraId="48ECA06A" w14:textId="60769270">
      <w:pPr>
        <w:pStyle w:val="Body"/>
      </w:pPr>
      <w:r>
        <w:t>The change</w:t>
      </w:r>
      <w:r w:rsidR="007B2C3D">
        <w:t>s do not affect</w:t>
      </w:r>
      <w:r>
        <w:t>:</w:t>
      </w:r>
    </w:p>
    <w:p w:rsidRPr="005A3474" w:rsidR="00D60956" w:rsidP="005A3474" w:rsidRDefault="000018E1" w14:paraId="38D2DAD9" w14:textId="3CF78913">
      <w:pPr>
        <w:pStyle w:val="Bullet1"/>
      </w:pPr>
      <w:r>
        <w:t>c</w:t>
      </w:r>
      <w:r w:rsidR="0020254A">
        <w:t>urrent</w:t>
      </w:r>
      <w:r w:rsidRPr="005A3474" w:rsidR="00D60956">
        <w:t xml:space="preserve"> SDA residency agreements</w:t>
      </w:r>
    </w:p>
    <w:p w:rsidRPr="005A3474" w:rsidR="00D60956" w:rsidP="005A3474" w:rsidRDefault="00D60956" w14:paraId="0C229698" w14:textId="52AA9F2D">
      <w:pPr>
        <w:pStyle w:val="Bullet1"/>
      </w:pPr>
      <w:r w:rsidRPr="005A3474">
        <w:t xml:space="preserve">the powers of </w:t>
      </w:r>
      <w:r w:rsidR="008B7511">
        <w:t>c</w:t>
      </w:r>
      <w:r w:rsidRPr="005A3474">
        <w:t xml:space="preserve">ommunity </w:t>
      </w:r>
      <w:r w:rsidR="008B7511">
        <w:t>v</w:t>
      </w:r>
      <w:r w:rsidRPr="005A3474">
        <w:t xml:space="preserve">isitors to visit </w:t>
      </w:r>
      <w:r w:rsidR="00D90276">
        <w:t xml:space="preserve">existing </w:t>
      </w:r>
      <w:r w:rsidRPr="005A3474">
        <w:t>SDA enrolled dwellings</w:t>
      </w:r>
    </w:p>
    <w:p w:rsidR="00F751EC" w:rsidP="005A3474" w:rsidRDefault="00D60956" w14:paraId="1CE4E013" w14:textId="1DC5EBB5">
      <w:pPr>
        <w:pStyle w:val="Bullet1"/>
      </w:pPr>
      <w:r w:rsidRPr="005A3474">
        <w:t>the need for SDA providers to notify Consumer Affairs Victoria of new SDA residency agreements</w:t>
      </w:r>
    </w:p>
    <w:p w:rsidRPr="005A3474" w:rsidR="0020254A" w:rsidP="0020254A" w:rsidRDefault="007B2C3D" w14:paraId="2E3B5F3C" w14:textId="46990E19">
      <w:pPr>
        <w:pStyle w:val="Bullet1"/>
      </w:pPr>
      <w:r>
        <w:t xml:space="preserve">the </w:t>
      </w:r>
      <w:r w:rsidR="000018E1">
        <w:t xml:space="preserve">general </w:t>
      </w:r>
      <w:r>
        <w:t>obligations of SDA providers under the Residential Tenancies Act</w:t>
      </w:r>
      <w:r w:rsidR="0020254A">
        <w:t>.</w:t>
      </w:r>
    </w:p>
    <w:p w:rsidR="00E96615" w:rsidP="003F5FCD" w:rsidRDefault="00E96615" w14:paraId="611352B0" w14:textId="7C52F56B">
      <w:pPr>
        <w:pStyle w:val="Heading2"/>
      </w:pPr>
      <w:bookmarkStart w:name="_Toc166852398" w:id="22"/>
      <w:r w:rsidRPr="00436782">
        <w:t xml:space="preserve">What the changes mean for </w:t>
      </w:r>
      <w:r w:rsidR="00D31E1F">
        <w:t>people with disability</w:t>
      </w:r>
      <w:bookmarkEnd w:id="22"/>
    </w:p>
    <w:p w:rsidR="0081217C" w:rsidP="0081217C" w:rsidRDefault="0081217C" w14:paraId="0F500405" w14:textId="0F554B88">
      <w:pPr>
        <w:pStyle w:val="Body"/>
      </w:pPr>
      <w:r>
        <w:t xml:space="preserve">The changes to the Residential Tenancies Act will mean </w:t>
      </w:r>
      <w:r w:rsidR="00D654B9">
        <w:t xml:space="preserve">that </w:t>
      </w:r>
      <w:r>
        <w:t>more people with disability can access the enhanced residential rights protections available under the Residential Tenancies Act.</w:t>
      </w:r>
    </w:p>
    <w:p w:rsidR="57310242" w:rsidP="049EB7DB" w:rsidRDefault="57310242" w14:paraId="42313D17" w14:textId="7AA187E3">
      <w:pPr>
        <w:pStyle w:val="Body"/>
      </w:pPr>
      <w:r>
        <w:t>This will mean that more people in disability accommodation can be visited by community visitors.</w:t>
      </w:r>
    </w:p>
    <w:p w:rsidR="007B2C3D" w:rsidP="007B2C3D" w:rsidRDefault="007B2C3D" w14:paraId="4D461122" w14:textId="360EB803">
      <w:pPr>
        <w:pStyle w:val="Body"/>
      </w:pPr>
      <w:r>
        <w:t>This may include people with disability whose accommodation and supports are funded by the:</w:t>
      </w:r>
    </w:p>
    <w:p w:rsidRPr="003E66EC" w:rsidR="007B2C3D" w:rsidP="007B2C3D" w:rsidRDefault="007B2C3D" w14:paraId="140C1CB9" w14:textId="24082644">
      <w:pPr>
        <w:pStyle w:val="Bullet1"/>
      </w:pPr>
      <w:r w:rsidRPr="003E66EC">
        <w:t>NDIS</w:t>
      </w:r>
    </w:p>
    <w:p w:rsidR="007B2C3D" w:rsidP="007B2C3D" w:rsidRDefault="007B2C3D" w14:paraId="2FB690BE" w14:textId="77777777">
      <w:pPr>
        <w:pStyle w:val="Bullet1"/>
      </w:pPr>
      <w:r>
        <w:t>Department of Families, Fairness and Housing</w:t>
      </w:r>
    </w:p>
    <w:p w:rsidR="007B2C3D" w:rsidP="007B2C3D" w:rsidRDefault="007B2C3D" w14:paraId="09DB90F5" w14:textId="77777777">
      <w:pPr>
        <w:pStyle w:val="Bullet1"/>
      </w:pPr>
      <w:r>
        <w:t>Transport Accident Commission</w:t>
      </w:r>
    </w:p>
    <w:p w:rsidR="007B2C3D" w:rsidP="007B2C3D" w:rsidRDefault="007B2C3D" w14:paraId="4754C8DE" w14:textId="77777777">
      <w:pPr>
        <w:pStyle w:val="Bullet1"/>
      </w:pPr>
      <w:r>
        <w:t>Victorian WorkCover Authority</w:t>
      </w:r>
    </w:p>
    <w:p w:rsidR="007B2C3D" w:rsidP="0081217C" w:rsidRDefault="007B2C3D" w14:paraId="391506FC" w14:textId="64AC9A0F">
      <w:pPr>
        <w:pStyle w:val="Bullet1"/>
      </w:pPr>
      <w:r>
        <w:t>Commonwealth Disability Support for Older Australians program.</w:t>
      </w:r>
    </w:p>
    <w:p w:rsidR="00D654B9" w:rsidP="0081217C" w:rsidRDefault="00D654B9" w14:paraId="3DE4E849" w14:textId="5030CA26">
      <w:pPr>
        <w:pStyle w:val="Body"/>
      </w:pPr>
      <w:r>
        <w:t xml:space="preserve">From 1 July 2024, residents of an SDA dwelling must be offered the choice of entering or establishing </w:t>
      </w:r>
      <w:r w:rsidR="000A70DD">
        <w:t xml:space="preserve">an </w:t>
      </w:r>
      <w:r>
        <w:t>SDA residency agreement</w:t>
      </w:r>
      <w:r w:rsidR="00D66AB9">
        <w:t>, where this choice has not been previously offered</w:t>
      </w:r>
      <w:r>
        <w:t>. Residents may also choose to remain under a residential rental agreement.</w:t>
      </w:r>
    </w:p>
    <w:p w:rsidR="00D654B9" w:rsidP="0081217C" w:rsidRDefault="00D654B9" w14:paraId="523AAE1C" w14:textId="6BFEB5A7">
      <w:pPr>
        <w:pStyle w:val="Body"/>
      </w:pPr>
      <w:r>
        <w:t xml:space="preserve">An SDA residency agreement offers additional protections for residents, including </w:t>
      </w:r>
      <w:r w:rsidR="00E1174A">
        <w:t>safeguards against eviction and rent increases</w:t>
      </w:r>
      <w:r w:rsidR="00315C63">
        <w:t>.</w:t>
      </w:r>
      <w:r w:rsidR="514E9E00">
        <w:t xml:space="preserve"> Community visitors can inspect </w:t>
      </w:r>
      <w:r w:rsidR="163AB4B8">
        <w:t>accommodation</w:t>
      </w:r>
      <w:r w:rsidR="514E9E00">
        <w:t xml:space="preserve"> where an SDA residency agreement is in place</w:t>
      </w:r>
      <w:r w:rsidR="610F9C52">
        <w:t>,</w:t>
      </w:r>
      <w:r w:rsidR="514E9E00">
        <w:t xml:space="preserve"> at any time and without notice.</w:t>
      </w:r>
    </w:p>
    <w:p w:rsidR="00C2445E" w:rsidP="0081217C" w:rsidRDefault="00C2445E" w14:paraId="2E0CB1BC" w14:textId="66307F5E">
      <w:pPr>
        <w:pStyle w:val="Body"/>
      </w:pPr>
      <w:r>
        <w:t xml:space="preserve">The changes do not affect the rights and obligations of SDA residents living in an SDA enrolled dwelling under </w:t>
      </w:r>
      <w:r w:rsidR="000A70DD">
        <w:t xml:space="preserve">an existing </w:t>
      </w:r>
      <w:r>
        <w:t>SDA residency agreement.</w:t>
      </w:r>
    </w:p>
    <w:p w:rsidR="005B1222" w:rsidP="003F5FCD" w:rsidRDefault="00436782" w14:paraId="4B89E902" w14:textId="06C94BD3">
      <w:pPr>
        <w:pStyle w:val="Heading2"/>
      </w:pPr>
      <w:bookmarkStart w:name="_What_the_changes" w:id="23"/>
      <w:bookmarkStart w:name="_Toc166852399" w:id="24"/>
      <w:bookmarkEnd w:id="23"/>
      <w:r w:rsidRPr="00436782">
        <w:t>What the changes mean for providers</w:t>
      </w:r>
      <w:bookmarkEnd w:id="24"/>
    </w:p>
    <w:p w:rsidR="00F93CAD" w:rsidP="0015225F" w:rsidRDefault="0015225F" w14:paraId="3E627981" w14:textId="5F670564">
      <w:pPr>
        <w:pStyle w:val="Body"/>
      </w:pPr>
      <w:r>
        <w:t xml:space="preserve">From 1 July 2024, some </w:t>
      </w:r>
      <w:r w:rsidR="00F93CAD">
        <w:t xml:space="preserve">disability accommodation and support </w:t>
      </w:r>
      <w:r>
        <w:t>providers will have new obligations</w:t>
      </w:r>
      <w:r w:rsidR="00F93CAD">
        <w:t xml:space="preserve"> under the Residential Tenancies Act.</w:t>
      </w:r>
    </w:p>
    <w:p w:rsidR="00F93CAD" w:rsidP="0015225F" w:rsidRDefault="00FF6B09" w14:paraId="60AA5340" w14:textId="2971F11E">
      <w:pPr>
        <w:pStyle w:val="Body"/>
      </w:pPr>
      <w:r>
        <w:t xml:space="preserve">It is important that providers, including NDIS </w:t>
      </w:r>
      <w:r w:rsidRPr="003E66EC" w:rsidR="00C85ED0">
        <w:t>SIL</w:t>
      </w:r>
      <w:r w:rsidR="003E66EC">
        <w:t xml:space="preserve"> </w:t>
      </w:r>
      <w:r>
        <w:t>providers, understand the</w:t>
      </w:r>
      <w:r w:rsidR="00F93CAD">
        <w:t xml:space="preserve"> changes </w:t>
      </w:r>
      <w:r w:rsidR="00586B24">
        <w:t>to the Residential Tenancies Act</w:t>
      </w:r>
      <w:r w:rsidR="00F93CAD">
        <w:t xml:space="preserve"> and </w:t>
      </w:r>
      <w:r>
        <w:t xml:space="preserve">consider if they apply to the </w:t>
      </w:r>
      <w:r w:rsidR="00F93CAD">
        <w:t xml:space="preserve">type of </w:t>
      </w:r>
      <w:r>
        <w:t>supports and accommodation they provide.</w:t>
      </w:r>
      <w:r w:rsidR="00A90E93">
        <w:t xml:space="preserve"> </w:t>
      </w:r>
    </w:p>
    <w:p w:rsidR="00FB689E" w:rsidP="0015225F" w:rsidRDefault="000B449B" w14:paraId="0BCF2B18" w14:textId="1BCDD50A">
      <w:pPr>
        <w:pStyle w:val="Body"/>
      </w:pPr>
      <w:r>
        <w:t xml:space="preserve">The </w:t>
      </w:r>
      <w:hyperlink w:history="1" r:id="rId14">
        <w:r w:rsidRPr="002B7713" w:rsidR="00EA4662">
          <w:rPr>
            <w:rStyle w:val="Hyperlink"/>
          </w:rPr>
          <w:t>Consumer Affairs Victoria website</w:t>
        </w:r>
      </w:hyperlink>
      <w:r w:rsidR="001848BF">
        <w:rPr>
          <w:rStyle w:val="FootnoteReference"/>
        </w:rPr>
        <w:footnoteReference w:id="3"/>
      </w:r>
      <w:r w:rsidR="00B7625C">
        <w:t xml:space="preserve"> contains information for SDA providers regarding</w:t>
      </w:r>
      <w:r w:rsidR="6E99D541">
        <w:t>:</w:t>
      </w:r>
    </w:p>
    <w:p w:rsidR="00FB689E" w:rsidP="3DD33DD4" w:rsidRDefault="00B7625C" w14:paraId="175E96FD" w14:textId="775C3CCF">
      <w:pPr>
        <w:pStyle w:val="Bullet1"/>
      </w:pPr>
      <w:r>
        <w:t xml:space="preserve">obligations </w:t>
      </w:r>
      <w:r w:rsidR="3BB1DC08">
        <w:t xml:space="preserve">of SDA providers </w:t>
      </w:r>
      <w:r>
        <w:t>under the Residential Tenancies Act</w:t>
      </w:r>
    </w:p>
    <w:p w:rsidR="49614AFE" w:rsidP="3DD33DD4" w:rsidRDefault="49614AFE" w14:paraId="726E32B3" w14:textId="1F4D25D6">
      <w:pPr>
        <w:pStyle w:val="Bullet1"/>
      </w:pPr>
      <w:r>
        <w:t>residential agreements available under the Residential Tenancies Act.</w:t>
      </w:r>
    </w:p>
    <w:p w:rsidR="00B800E4" w:rsidP="0020254A" w:rsidRDefault="00B800E4" w14:paraId="44CF668F" w14:textId="52D82144">
      <w:pPr>
        <w:pStyle w:val="Heading3"/>
      </w:pPr>
      <w:bookmarkStart w:name="_Toc166852400" w:id="25"/>
      <w:r>
        <w:t>SDA enrolled dwelling</w:t>
      </w:r>
      <w:r w:rsidR="00CF74B3">
        <w:t>s</w:t>
      </w:r>
      <w:r w:rsidR="002958B2">
        <w:t xml:space="preserve"> </w:t>
      </w:r>
      <w:r w:rsidR="00A13448">
        <w:t xml:space="preserve">occupied </w:t>
      </w:r>
      <w:r w:rsidR="002958B2">
        <w:t>under an SDA residency agreement</w:t>
      </w:r>
      <w:bookmarkEnd w:id="25"/>
    </w:p>
    <w:p w:rsidR="002958B2" w:rsidP="00B800E4" w:rsidRDefault="00B800E4" w14:paraId="17C7407B" w14:textId="326466E9">
      <w:pPr>
        <w:pStyle w:val="Body"/>
      </w:pPr>
      <w:r>
        <w:t xml:space="preserve">The changes </w:t>
      </w:r>
      <w:r w:rsidR="006E537C">
        <w:t xml:space="preserve">to the Residential Tenancies Act </w:t>
      </w:r>
      <w:r>
        <w:t xml:space="preserve">do not </w:t>
      </w:r>
      <w:r w:rsidR="000A1FB6">
        <w:t>change</w:t>
      </w:r>
      <w:r>
        <w:t xml:space="preserve"> </w:t>
      </w:r>
      <w:r w:rsidR="002958B2">
        <w:t xml:space="preserve">the obligations of </w:t>
      </w:r>
      <w:r>
        <w:t xml:space="preserve">SDA providers </w:t>
      </w:r>
      <w:r w:rsidR="00402410">
        <w:t xml:space="preserve">who are providing an </w:t>
      </w:r>
      <w:r w:rsidR="000A1FB6">
        <w:t xml:space="preserve">existing </w:t>
      </w:r>
      <w:r w:rsidR="00402410">
        <w:t xml:space="preserve">SDA enrolled dwelling to an SDA resident </w:t>
      </w:r>
      <w:r>
        <w:t>under an SDA residency agreement.</w:t>
      </w:r>
    </w:p>
    <w:p w:rsidR="002958B2" w:rsidP="00C16719" w:rsidRDefault="000A1FB6" w14:paraId="3D2777B2" w14:textId="7A9C49B2">
      <w:pPr>
        <w:pStyle w:val="Body"/>
      </w:pPr>
      <w:r>
        <w:t>However, t</w:t>
      </w:r>
      <w:r w:rsidR="006E537C">
        <w:t>hese providers</w:t>
      </w:r>
      <w:r>
        <w:t xml:space="preserve"> should</w:t>
      </w:r>
      <w:r w:rsidR="00C16719">
        <w:t xml:space="preserve"> </w:t>
      </w:r>
      <w:r w:rsidR="002958B2">
        <w:t xml:space="preserve">note that </w:t>
      </w:r>
      <w:r w:rsidR="00C16719">
        <w:t xml:space="preserve">some </w:t>
      </w:r>
      <w:r w:rsidR="002958B2">
        <w:t>changes have been made to the rules for SDA residential notices (refer to</w:t>
      </w:r>
      <w:r w:rsidR="009B3C6E">
        <w:t xml:space="preserve"> </w:t>
      </w:r>
      <w:hyperlink w:history="1" w:anchor="_Changes_to_residential_1">
        <w:r w:rsidRPr="007565E9" w:rsidR="4F17B12D">
          <w:rPr>
            <w:rStyle w:val="Hyperlink"/>
          </w:rPr>
          <w:t>Changes to residential notices for SDA residency agreements</w:t>
        </w:r>
      </w:hyperlink>
      <w:r w:rsidR="002958B2">
        <w:t>).</w:t>
      </w:r>
    </w:p>
    <w:p w:rsidR="008A47A9" w:rsidP="0020254A" w:rsidRDefault="008A47A9" w14:paraId="765FC248" w14:textId="334F960C">
      <w:pPr>
        <w:pStyle w:val="Heading3"/>
      </w:pPr>
      <w:bookmarkStart w:name="_Toc166852401" w:id="26"/>
      <w:r>
        <w:t>SDA enrolled dwelling</w:t>
      </w:r>
      <w:r w:rsidR="00CF74B3">
        <w:t>s</w:t>
      </w:r>
      <w:r>
        <w:t xml:space="preserve"> </w:t>
      </w:r>
      <w:r w:rsidR="00A13448">
        <w:t xml:space="preserve">occupied </w:t>
      </w:r>
      <w:r>
        <w:t>under a residential rental agreement</w:t>
      </w:r>
      <w:bookmarkEnd w:id="26"/>
    </w:p>
    <w:p w:rsidR="002958B2" w:rsidP="00B800E4" w:rsidRDefault="00402410" w14:paraId="72EFF1B1" w14:textId="187CB4EB">
      <w:pPr>
        <w:pStyle w:val="Body"/>
      </w:pPr>
      <w:r>
        <w:t xml:space="preserve">SDA providers who are renting an </w:t>
      </w:r>
      <w:r w:rsidR="000A1FB6">
        <w:t xml:space="preserve">existing </w:t>
      </w:r>
      <w:r>
        <w:t xml:space="preserve">SDA enrolled dwelling to an SDA </w:t>
      </w:r>
      <w:r w:rsidR="00B800E4">
        <w:t>resident under a residential rental agreement</w:t>
      </w:r>
      <w:r w:rsidR="006E537C">
        <w:t xml:space="preserve"> </w:t>
      </w:r>
      <w:r w:rsidR="728DC2C4">
        <w:t>(</w:t>
      </w:r>
      <w:r w:rsidR="00A23C33">
        <w:t>refer to</w:t>
      </w:r>
      <w:r w:rsidR="728DC2C4">
        <w:t xml:space="preserve"> </w:t>
      </w:r>
      <w:hyperlink w:anchor="_Glossary_of_terms">
        <w:r w:rsidRPr="3DD33DD4" w:rsidR="728DC2C4">
          <w:rPr>
            <w:rStyle w:val="Hyperlink"/>
          </w:rPr>
          <w:t>Glossary of terms</w:t>
        </w:r>
      </w:hyperlink>
      <w:r w:rsidR="728DC2C4">
        <w:t>)</w:t>
      </w:r>
      <w:r w:rsidR="006E537C">
        <w:t xml:space="preserve"> will have new obligations from 1 July 2024.</w:t>
      </w:r>
    </w:p>
    <w:p w:rsidR="002958B2" w:rsidP="00B800E4" w:rsidRDefault="002958B2" w14:paraId="3B396790" w14:textId="6E69BB99">
      <w:pPr>
        <w:pStyle w:val="Body"/>
      </w:pPr>
      <w:r>
        <w:t xml:space="preserve">These providers </w:t>
      </w:r>
      <w:r w:rsidR="000A1FB6">
        <w:t>should</w:t>
      </w:r>
      <w:r>
        <w:t>:</w:t>
      </w:r>
    </w:p>
    <w:p w:rsidR="000A1FB6" w:rsidP="000A1FB6" w:rsidRDefault="000A1FB6" w14:paraId="1983A3F3" w14:textId="7004C550">
      <w:pPr>
        <w:pStyle w:val="Bullet1"/>
      </w:pPr>
      <w:r>
        <w:t>refer to</w:t>
      </w:r>
      <w:r w:rsidR="00A341C8">
        <w:t xml:space="preserve"> </w:t>
      </w:r>
      <w:hyperlink w:anchor="_New_definitions_of">
        <w:r w:rsidRPr="3DD33DD4" w:rsidR="00A341C8">
          <w:rPr>
            <w:rStyle w:val="Hyperlink"/>
          </w:rPr>
          <w:t>New definitions of SDA dwelling, SDA provider and SDA resident</w:t>
        </w:r>
      </w:hyperlink>
    </w:p>
    <w:p w:rsidR="002958B2" w:rsidP="000A1FB6" w:rsidRDefault="002958B2" w14:paraId="504D7266" w14:textId="41B2578A">
      <w:pPr>
        <w:pStyle w:val="Bullet1"/>
      </w:pPr>
      <w:r>
        <w:t>refer to</w:t>
      </w:r>
      <w:r w:rsidR="00A341C8">
        <w:t xml:space="preserve"> </w:t>
      </w:r>
      <w:hyperlink w:anchor="_Appendix_2:_Key_1">
        <w:r w:rsidRPr="3DD33DD4" w:rsidR="00A341C8">
          <w:rPr>
            <w:rStyle w:val="Hyperlink"/>
          </w:rPr>
          <w:t>Appendix 2: Key actions for SDA providers from 1 July 2024</w:t>
        </w:r>
      </w:hyperlink>
    </w:p>
    <w:p w:rsidR="002958B2" w:rsidP="002958B2" w:rsidRDefault="002958B2" w14:paraId="7350B072" w14:textId="17FE5A4E">
      <w:pPr>
        <w:pStyle w:val="Bullet1"/>
      </w:pPr>
      <w:r>
        <w:t>note that changes have been made to the rules for SDA residential notices (refer to</w:t>
      </w:r>
      <w:r w:rsidR="00A341C8">
        <w:t xml:space="preserve"> </w:t>
      </w:r>
      <w:hyperlink w:anchor="_Changes_to_residential_1">
        <w:r w:rsidRPr="3DD33DD4" w:rsidR="00A341C8">
          <w:rPr>
            <w:rStyle w:val="Hyperlink"/>
          </w:rPr>
          <w:t>Changes to residential notices for SDA residency agreements</w:t>
        </w:r>
      </w:hyperlink>
      <w:r>
        <w:t>)</w:t>
      </w:r>
    </w:p>
    <w:p w:rsidR="002958B2" w:rsidP="000C7A62" w:rsidRDefault="000A1FB6" w14:paraId="29CBAD8E" w14:textId="09735A55">
      <w:pPr>
        <w:pStyle w:val="Bullet1"/>
      </w:pPr>
      <w:r>
        <w:t xml:space="preserve">continue to </w:t>
      </w:r>
      <w:r w:rsidR="002958B2">
        <w:t>comply with all relevant obligations for SDA providers under the Residential Tenancies Act.</w:t>
      </w:r>
    </w:p>
    <w:p w:rsidR="008A47A9" w:rsidP="00EC6960" w:rsidRDefault="00C16719" w14:paraId="6866CACF" w14:textId="68B9E474">
      <w:pPr>
        <w:pStyle w:val="Heading3"/>
      </w:pPr>
      <w:bookmarkStart w:name="_Toc166852402" w:id="27"/>
      <w:r>
        <w:t>Other a</w:t>
      </w:r>
      <w:r w:rsidR="008A47A9">
        <w:t>ccommodation that will be</w:t>
      </w:r>
      <w:r w:rsidR="00C47BE7">
        <w:t>come</w:t>
      </w:r>
      <w:r w:rsidR="008A47A9">
        <w:t xml:space="preserve"> </w:t>
      </w:r>
      <w:r w:rsidR="002958B2">
        <w:t xml:space="preserve">an </w:t>
      </w:r>
      <w:r w:rsidR="008A47A9">
        <w:t>SDA dwelling from 1 July 2024</w:t>
      </w:r>
      <w:bookmarkEnd w:id="27"/>
    </w:p>
    <w:p w:rsidR="002958B2" w:rsidP="4AC782B1" w:rsidRDefault="002958B2" w14:paraId="15F649F0" w14:textId="727A8BCB">
      <w:pPr>
        <w:pStyle w:val="Body"/>
      </w:pPr>
      <w:r>
        <w:t>Providers of accommodation</w:t>
      </w:r>
      <w:r w:rsidR="00A848A7">
        <w:t xml:space="preserve"> to people with disability under a residential rental agreement</w:t>
      </w:r>
      <w:r w:rsidR="3B901DC5">
        <w:t xml:space="preserve"> </w:t>
      </w:r>
      <w:r w:rsidR="781C0D94">
        <w:t>(</w:t>
      </w:r>
      <w:r w:rsidR="00A23C33">
        <w:t>refer to</w:t>
      </w:r>
      <w:r w:rsidR="781C0D94">
        <w:t xml:space="preserve"> </w:t>
      </w:r>
      <w:hyperlink w:anchor="_Glossary_of_terms">
        <w:r w:rsidRPr="3DD33DD4" w:rsidR="781C0D94">
          <w:rPr>
            <w:rStyle w:val="Hyperlink"/>
          </w:rPr>
          <w:t>Glossary of terms</w:t>
        </w:r>
      </w:hyperlink>
      <w:r w:rsidR="781C0D94">
        <w:t>)</w:t>
      </w:r>
      <w:r w:rsidR="1CD41F50">
        <w:t xml:space="preserve"> </w:t>
      </w:r>
      <w:r w:rsidR="000A1FB6">
        <w:t>that meet</w:t>
      </w:r>
      <w:r w:rsidR="00DC79F0">
        <w:t xml:space="preserve">s </w:t>
      </w:r>
      <w:r w:rsidR="000A1FB6">
        <w:t>the new definition of SDA dwelling</w:t>
      </w:r>
      <w:r w:rsidR="0020254A">
        <w:t xml:space="preserve"> </w:t>
      </w:r>
      <w:r w:rsidR="000A1FB6">
        <w:t xml:space="preserve">will </w:t>
      </w:r>
      <w:r w:rsidR="00A848A7">
        <w:t>have new obligations from 1 July 2024.</w:t>
      </w:r>
    </w:p>
    <w:p w:rsidR="00A341C8" w:rsidP="00A341C8" w:rsidRDefault="00A341C8" w14:paraId="7B784309" w14:textId="77777777">
      <w:pPr>
        <w:pStyle w:val="Body"/>
      </w:pPr>
      <w:r>
        <w:t>These providers should:</w:t>
      </w:r>
    </w:p>
    <w:p w:rsidR="00A341C8" w:rsidP="00A341C8" w:rsidRDefault="00A341C8" w14:paraId="4FB0A442" w14:textId="77777777">
      <w:pPr>
        <w:pStyle w:val="Bullet1"/>
      </w:pPr>
      <w:r>
        <w:t xml:space="preserve">refer to </w:t>
      </w:r>
      <w:hyperlink w:anchor="_New_definitions_of">
        <w:r w:rsidRPr="3DD33DD4">
          <w:rPr>
            <w:rStyle w:val="Hyperlink"/>
          </w:rPr>
          <w:t>New definitions of SDA dwelling, SDA provider and SDA resident</w:t>
        </w:r>
      </w:hyperlink>
    </w:p>
    <w:p w:rsidR="00A341C8" w:rsidP="00A341C8" w:rsidRDefault="00A341C8" w14:paraId="469A58B5" w14:textId="77777777">
      <w:pPr>
        <w:pStyle w:val="Bullet1"/>
      </w:pPr>
      <w:r>
        <w:t xml:space="preserve">refer to </w:t>
      </w:r>
      <w:hyperlink w:anchor="_Appendix_2:_Key_1">
        <w:r w:rsidRPr="3DD33DD4">
          <w:rPr>
            <w:rStyle w:val="Hyperlink"/>
          </w:rPr>
          <w:t>Appendix 2: Key actions for SDA providers from 1 July 2024</w:t>
        </w:r>
      </w:hyperlink>
    </w:p>
    <w:p w:rsidRPr="009B3C6E" w:rsidR="000A1FB6" w:rsidP="00A341C8" w:rsidRDefault="00A341C8" w14:paraId="7AF2CF2D" w14:textId="22EE27EC">
      <w:pPr>
        <w:pStyle w:val="Bullet1"/>
      </w:pPr>
      <w:r>
        <w:t>become familiar with and comply with all relevant obligations for SDA providers under the Residential Tenancies Act.</w:t>
      </w:r>
    </w:p>
    <w:p w:rsidR="008A47A9" w:rsidP="00EC6960" w:rsidRDefault="00DD48F3" w14:paraId="46E268C2" w14:textId="2E9E3B36">
      <w:pPr>
        <w:pStyle w:val="Heading3"/>
      </w:pPr>
      <w:bookmarkStart w:name="_Toc166852403" w:id="28"/>
      <w:r>
        <w:t>G</w:t>
      </w:r>
      <w:r w:rsidR="008A47A9">
        <w:t>roup home</w:t>
      </w:r>
      <w:r w:rsidR="00CF74B3">
        <w:t>s</w:t>
      </w:r>
      <w:r w:rsidR="008A47A9">
        <w:t xml:space="preserve"> operated as </w:t>
      </w:r>
      <w:r w:rsidR="00C16719">
        <w:t xml:space="preserve">a </w:t>
      </w:r>
      <w:r w:rsidR="008A47A9">
        <w:t xml:space="preserve">residential service under the </w:t>
      </w:r>
      <w:r w:rsidR="00C47BE7">
        <w:t>Disability</w:t>
      </w:r>
      <w:r w:rsidR="008A47A9">
        <w:t xml:space="preserve"> </w:t>
      </w:r>
      <w:r w:rsidR="00C47BE7">
        <w:t>Act</w:t>
      </w:r>
      <w:bookmarkEnd w:id="28"/>
    </w:p>
    <w:p w:rsidR="000A1FB6" w:rsidP="000A1FB6" w:rsidRDefault="00E96615" w14:paraId="427C1B1B" w14:textId="76C26485">
      <w:pPr>
        <w:pStyle w:val="Body"/>
      </w:pPr>
      <w:r>
        <w:t xml:space="preserve">From 1 July 2024, </w:t>
      </w:r>
      <w:r w:rsidR="000A1FB6">
        <w:t xml:space="preserve">group homes </w:t>
      </w:r>
      <w:r w:rsidR="00DE3E25">
        <w:t xml:space="preserve">that were </w:t>
      </w:r>
      <w:r w:rsidR="000A1FB6">
        <w:t xml:space="preserve">operating under the Disability Act as residential services </w:t>
      </w:r>
      <w:r>
        <w:t xml:space="preserve">prior to 1 July 2024 will </w:t>
      </w:r>
      <w:r w:rsidR="00A23C33">
        <w:t xml:space="preserve">become an SDA dwelling under the new definition and </w:t>
      </w:r>
      <w:r>
        <w:t xml:space="preserve">transition to </w:t>
      </w:r>
      <w:r w:rsidR="00A341C8">
        <w:t xml:space="preserve">residential </w:t>
      </w:r>
      <w:r>
        <w:t xml:space="preserve">protections under </w:t>
      </w:r>
      <w:r w:rsidR="000A1FB6">
        <w:t>the Residential Tenancies Act</w:t>
      </w:r>
      <w:r>
        <w:t>.</w:t>
      </w:r>
    </w:p>
    <w:p w:rsidR="000A1FB6" w:rsidP="000A1FB6" w:rsidRDefault="000A1FB6" w14:paraId="2E28B912" w14:textId="77777777">
      <w:pPr>
        <w:pStyle w:val="Body"/>
      </w:pPr>
      <w:r>
        <w:t>Prior to 1 July 2024, group homes operating under the Disability Act were excluded from the Residential Tenancies Act. This is because alternative residential protections were provided under the Disability Act.</w:t>
      </w:r>
    </w:p>
    <w:p w:rsidR="000A1FB6" w:rsidP="000A1FB6" w:rsidRDefault="00E96615" w14:paraId="6B50AE58" w14:textId="7914E953">
      <w:pPr>
        <w:pStyle w:val="Body"/>
      </w:pPr>
      <w:r>
        <w:t>For</w:t>
      </w:r>
      <w:r w:rsidR="000A1FB6">
        <w:t xml:space="preserve"> group home</w:t>
      </w:r>
      <w:r w:rsidR="00A341C8">
        <w:t>s</w:t>
      </w:r>
      <w:r w:rsidR="000A1FB6">
        <w:t xml:space="preserve"> </w:t>
      </w:r>
      <w:r>
        <w:t xml:space="preserve">that </w:t>
      </w:r>
      <w:r w:rsidR="000A1FB6">
        <w:t>will transition to the Residential Tenancies Act</w:t>
      </w:r>
      <w:r w:rsidR="00A341C8">
        <w:t xml:space="preserve"> on 1 July 2024:</w:t>
      </w:r>
    </w:p>
    <w:p w:rsidR="000A1FB6" w:rsidP="000A1FB6" w:rsidRDefault="000A70DD" w14:paraId="113D58C3" w14:textId="6D931515">
      <w:pPr>
        <w:pStyle w:val="Bullet1"/>
      </w:pPr>
      <w:r>
        <w:t xml:space="preserve">a </w:t>
      </w:r>
      <w:r w:rsidR="000A1FB6">
        <w:t>group home</w:t>
      </w:r>
      <w:r w:rsidR="00E96615">
        <w:t xml:space="preserve"> </w:t>
      </w:r>
      <w:r w:rsidR="000A1FB6">
        <w:t xml:space="preserve">will become </w:t>
      </w:r>
      <w:r w:rsidR="00E96615">
        <w:t xml:space="preserve">an </w:t>
      </w:r>
      <w:r w:rsidR="000A1FB6">
        <w:t>SDA dwelling</w:t>
      </w:r>
    </w:p>
    <w:p w:rsidR="000A1FB6" w:rsidP="000A1FB6" w:rsidRDefault="000A70DD" w14:paraId="7982EECD" w14:textId="1EC9D39C">
      <w:pPr>
        <w:pStyle w:val="Bullet1"/>
      </w:pPr>
      <w:r>
        <w:t xml:space="preserve">a </w:t>
      </w:r>
      <w:r w:rsidR="000A1FB6">
        <w:t xml:space="preserve">resident will become </w:t>
      </w:r>
      <w:r>
        <w:t xml:space="preserve">an </w:t>
      </w:r>
      <w:r w:rsidR="000A1FB6">
        <w:t>SDA resident</w:t>
      </w:r>
    </w:p>
    <w:p w:rsidR="000A1FB6" w:rsidP="000A1FB6" w:rsidRDefault="00E96615" w14:paraId="2F1036FE" w14:textId="67344703">
      <w:pPr>
        <w:pStyle w:val="Bullet1"/>
      </w:pPr>
      <w:r>
        <w:t xml:space="preserve">the </w:t>
      </w:r>
      <w:r w:rsidR="000A1FB6">
        <w:t xml:space="preserve">provider of </w:t>
      </w:r>
      <w:r w:rsidR="000A70DD">
        <w:t xml:space="preserve">a </w:t>
      </w:r>
      <w:r w:rsidR="000A1FB6">
        <w:t xml:space="preserve">group home will become </w:t>
      </w:r>
      <w:r>
        <w:t xml:space="preserve">an </w:t>
      </w:r>
      <w:r w:rsidR="000A1FB6">
        <w:t>SDA provider</w:t>
      </w:r>
    </w:p>
    <w:p w:rsidRPr="0058412B" w:rsidR="0058412B" w:rsidP="0058412B" w:rsidRDefault="0058412B" w14:paraId="5A9F0B7E" w14:textId="5B952604">
      <w:pPr>
        <w:pStyle w:val="Bullet1"/>
        <w:rPr>
          <w:lang w:eastAsia="en-AU"/>
        </w:rPr>
      </w:pPr>
      <w:r>
        <w:t xml:space="preserve">an existing residential statement will </w:t>
      </w:r>
      <w:proofErr w:type="gramStart"/>
      <w:r w:rsidR="000A70DD">
        <w:t>deemed</w:t>
      </w:r>
      <w:proofErr w:type="gramEnd"/>
      <w:r w:rsidR="000A70DD">
        <w:t xml:space="preserve"> to be </w:t>
      </w:r>
      <w:r>
        <w:t>an SDA residency agreement</w:t>
      </w:r>
    </w:p>
    <w:p w:rsidRPr="0058412B" w:rsidR="0058412B" w:rsidP="0058412B" w:rsidRDefault="0058412B" w14:paraId="2288CAF3" w14:textId="77777777">
      <w:pPr>
        <w:pStyle w:val="Bullet1"/>
        <w:rPr>
          <w:lang w:eastAsia="en-AU"/>
        </w:rPr>
      </w:pPr>
      <w:r w:rsidRPr="683C66B3">
        <w:rPr>
          <w:lang w:eastAsia="en-AU"/>
        </w:rPr>
        <w:t>the term of the SDA residency agreement will be for the period of the original residential statement </w:t>
      </w:r>
    </w:p>
    <w:p w:rsidR="00D5602E" w:rsidP="0058412B" w:rsidRDefault="0058412B" w14:paraId="46E5DEBA" w14:textId="0043382E">
      <w:pPr>
        <w:pStyle w:val="Bullet1"/>
      </w:pPr>
      <w:r w:rsidRPr="683C66B3">
        <w:rPr>
          <w:lang w:eastAsia="en-AU"/>
        </w:rPr>
        <w:t>the ‘rent’ and ‘services’ components of the residential charge specified in the original residential statement will be the ‘rent’ and ‘utilities’ charges in the SDA residency agreement. </w:t>
      </w:r>
    </w:p>
    <w:p w:rsidR="000A1FB6" w:rsidP="000A1FB6" w:rsidRDefault="000A1FB6" w14:paraId="1C1A8651" w14:textId="6A7A38FC">
      <w:pPr>
        <w:pStyle w:val="Body"/>
      </w:pPr>
      <w:r>
        <w:t>Providers of group homes that will transition to the Residential Tenancies Act will have new obligations from 1 July 2024.</w:t>
      </w:r>
    </w:p>
    <w:p w:rsidR="000A1FB6" w:rsidP="00B800E4" w:rsidRDefault="00E96615" w14:paraId="451B46E8" w14:textId="4CF30DCC">
      <w:pPr>
        <w:pStyle w:val="Body"/>
      </w:pPr>
      <w:r>
        <w:t>These providers should:</w:t>
      </w:r>
    </w:p>
    <w:p w:rsidR="00A341C8" w:rsidP="00A341C8" w:rsidRDefault="00A341C8" w14:paraId="18645A06" w14:textId="77777777">
      <w:pPr>
        <w:pStyle w:val="Bullet1"/>
      </w:pPr>
      <w:r>
        <w:t xml:space="preserve">refer to </w:t>
      </w:r>
      <w:hyperlink w:anchor="_New_definitions_of">
        <w:r w:rsidRPr="683C66B3">
          <w:rPr>
            <w:rStyle w:val="Hyperlink"/>
          </w:rPr>
          <w:t>New definitions of SDA dwelling, SDA provider and SDA resident</w:t>
        </w:r>
      </w:hyperlink>
    </w:p>
    <w:p w:rsidR="00A341C8" w:rsidP="00A341C8" w:rsidRDefault="00A341C8" w14:paraId="5CDE6894" w14:textId="77777777">
      <w:pPr>
        <w:pStyle w:val="Bullet1"/>
      </w:pPr>
      <w:r>
        <w:t xml:space="preserve">refer to </w:t>
      </w:r>
      <w:hyperlink w:anchor="_Appendix_2:_Key_1">
        <w:r w:rsidRPr="683C66B3">
          <w:rPr>
            <w:rStyle w:val="Hyperlink"/>
          </w:rPr>
          <w:t>Appendix 2: Key actions for SDA providers from 1 July 2024</w:t>
        </w:r>
      </w:hyperlink>
    </w:p>
    <w:p w:rsidR="00A341C8" w:rsidP="00B800E4" w:rsidRDefault="00A341C8" w14:paraId="0EEC401D" w14:textId="76905F63">
      <w:pPr>
        <w:pStyle w:val="Bullet1"/>
      </w:pPr>
      <w:r>
        <w:t>become familiar with and comply with all relevant obligations for SDA providers under the Residential Tenancies Act.</w:t>
      </w:r>
    </w:p>
    <w:p w:rsidRPr="004C28B5" w:rsidR="00B74CCA" w:rsidP="00EC6960" w:rsidRDefault="0020254A" w14:paraId="2044D5BB" w14:textId="38A11071">
      <w:pPr>
        <w:pStyle w:val="Heading1"/>
      </w:pPr>
      <w:bookmarkStart w:name="_Changes_to_definitions" w:id="29"/>
      <w:bookmarkStart w:name="_New_definitions_of" w:id="30"/>
      <w:bookmarkStart w:name="_Ref164851363" w:id="31"/>
      <w:bookmarkStart w:name="_Toc166852404" w:id="32"/>
      <w:bookmarkEnd w:id="29"/>
      <w:bookmarkEnd w:id="30"/>
      <w:r>
        <w:t>New definitions of</w:t>
      </w:r>
      <w:r w:rsidR="00AA6218">
        <w:t xml:space="preserve"> SDA dwelling, SDA provider and SDA resident</w:t>
      </w:r>
      <w:bookmarkEnd w:id="31"/>
      <w:bookmarkEnd w:id="32"/>
    </w:p>
    <w:p w:rsidR="00CD6D75" w:rsidP="003F5FCD" w:rsidRDefault="000E4BC4" w14:paraId="14E4BD68" w14:textId="34812E09">
      <w:pPr>
        <w:pStyle w:val="Heading2"/>
      </w:pPr>
      <w:bookmarkStart w:name="_Toc166852405" w:id="33"/>
      <w:r>
        <w:t xml:space="preserve">New definition of </w:t>
      </w:r>
      <w:r w:rsidR="00433E24">
        <w:t xml:space="preserve">SDA </w:t>
      </w:r>
      <w:r>
        <w:t>dwelling</w:t>
      </w:r>
      <w:bookmarkEnd w:id="33"/>
    </w:p>
    <w:p w:rsidR="00CD6D75" w:rsidP="00CD6D75" w:rsidRDefault="00CD6D75" w14:paraId="55AB7016" w14:textId="4613990E">
      <w:pPr>
        <w:pStyle w:val="Body"/>
      </w:pPr>
      <w:r>
        <w:t xml:space="preserve">The changes will insert a new SDA dwelling term into the Residential Tenancies Act. </w:t>
      </w:r>
    </w:p>
    <w:p w:rsidR="00CD6D75" w:rsidP="00CD6D75" w:rsidRDefault="00B3007A" w14:paraId="2CF7D216" w14:textId="54AE0860">
      <w:pPr>
        <w:pStyle w:val="Body"/>
      </w:pPr>
      <w:r>
        <w:t>The</w:t>
      </w:r>
      <w:r w:rsidR="00CD6D75">
        <w:t xml:space="preserve"> change will expand the types of accommodation (dwellings) that are covered under Part 12A of the Residential Tenancies Act.</w:t>
      </w:r>
    </w:p>
    <w:p w:rsidR="00CD6D75" w:rsidP="00CD6D75" w:rsidRDefault="00CD6D75" w14:paraId="3A436485" w14:textId="77777777">
      <w:pPr>
        <w:pStyle w:val="Body"/>
      </w:pPr>
      <w:r>
        <w:t>From 1 July 2024, SDA dwelling will mean:</w:t>
      </w:r>
    </w:p>
    <w:p w:rsidR="00CD6D75" w:rsidP="00BD2E7B" w:rsidRDefault="00CD6D75" w14:paraId="46740394" w14:textId="4DEAA95C">
      <w:pPr>
        <w:pStyle w:val="Bullet1"/>
      </w:pPr>
      <w:r>
        <w:t>an SDA enrolled dwelling (a dwelling enrolled with the NDIS as SDA)</w:t>
      </w:r>
    </w:p>
    <w:p w:rsidR="00CD6D75" w:rsidP="00BD2E7B" w:rsidRDefault="00CD6D75" w14:paraId="6BBA269F" w14:textId="57487CC4">
      <w:pPr>
        <w:pStyle w:val="Bullet1"/>
      </w:pPr>
      <w:r>
        <w:t>any other dwelling that provides permanent long-term accommodation, where daily independent living support is provided to one or more residents and funded by:</w:t>
      </w:r>
    </w:p>
    <w:p w:rsidRPr="005A3474" w:rsidR="00CD6D75" w:rsidP="005A3474" w:rsidRDefault="00CD6D75" w14:paraId="5F688424" w14:textId="2EE5E268">
      <w:pPr>
        <w:pStyle w:val="Bullet2"/>
      </w:pPr>
      <w:r w:rsidRPr="005A3474">
        <w:t>the Transport Accident Commission</w:t>
      </w:r>
    </w:p>
    <w:p w:rsidRPr="005A3474" w:rsidR="00CD6D75" w:rsidP="005A3474" w:rsidRDefault="00CD6D75" w14:paraId="47A245F3" w14:textId="03E03ED3">
      <w:pPr>
        <w:pStyle w:val="Bullet2"/>
      </w:pPr>
      <w:r w:rsidRPr="005A3474">
        <w:t xml:space="preserve">the Victorian </w:t>
      </w:r>
      <w:r w:rsidRPr="005A3474" w:rsidR="000A70DD">
        <w:t>Work</w:t>
      </w:r>
      <w:r w:rsidR="000A70DD">
        <w:t>C</w:t>
      </w:r>
      <w:r w:rsidRPr="005A3474" w:rsidR="000A70DD">
        <w:t xml:space="preserve">over </w:t>
      </w:r>
      <w:r w:rsidRPr="005A3474">
        <w:t>Authority</w:t>
      </w:r>
    </w:p>
    <w:p w:rsidRPr="005A3474" w:rsidR="00CD6D75" w:rsidP="005A3474" w:rsidRDefault="00CD6D75" w14:paraId="37625232" w14:textId="04D28B61">
      <w:pPr>
        <w:pStyle w:val="Bullet2"/>
      </w:pPr>
      <w:r w:rsidRPr="005A3474">
        <w:t>the NDIS</w:t>
      </w:r>
    </w:p>
    <w:p w:rsidRPr="005A3474" w:rsidR="00CD6D75" w:rsidP="005A3474" w:rsidRDefault="00CD6D75" w14:paraId="51F8169D" w14:textId="6BDDC46E">
      <w:pPr>
        <w:pStyle w:val="Bullet2"/>
      </w:pPr>
      <w:r w:rsidRPr="005A3474">
        <w:t>the Department of Families, Fairness and Housing</w:t>
      </w:r>
    </w:p>
    <w:p w:rsidRPr="005A3474" w:rsidR="00CD6D75" w:rsidP="005A3474" w:rsidRDefault="00CD6D75" w14:paraId="358865B2" w14:textId="782179C0">
      <w:pPr>
        <w:pStyle w:val="Bullet2"/>
      </w:pPr>
      <w:r w:rsidRPr="005A3474">
        <w:t>the Commonwealth Disability Support for Older Australians program.</w:t>
      </w:r>
    </w:p>
    <w:p w:rsidR="00CD6D75" w:rsidP="005A3474" w:rsidRDefault="00F43F6C" w14:paraId="4CB21D47" w14:textId="057E434F">
      <w:pPr>
        <w:pStyle w:val="Bodyafterbullets"/>
      </w:pPr>
      <w:r>
        <w:t xml:space="preserve">The following types of accommodation are not an </w:t>
      </w:r>
      <w:r w:rsidR="00CD6D75">
        <w:t>SDA</w:t>
      </w:r>
      <w:r>
        <w:t xml:space="preserve"> dwelling</w:t>
      </w:r>
      <w:r w:rsidR="00CD6D75">
        <w:t>:</w:t>
      </w:r>
    </w:p>
    <w:p w:rsidR="00CD6D75" w:rsidP="00BD2E7B" w:rsidRDefault="00CD6D75" w14:paraId="681A0ECC" w14:textId="2776A33D">
      <w:pPr>
        <w:pStyle w:val="Bullet1"/>
      </w:pPr>
      <w:r>
        <w:t>accommodation that is not occupied under an SDA residency agreement or a residential rental agreement</w:t>
      </w:r>
    </w:p>
    <w:p w:rsidRPr="003F4BA4" w:rsidR="00CD6D75" w:rsidP="00BD2E7B" w:rsidRDefault="00CD6D75" w14:paraId="4AB6986D" w14:textId="6027CD20">
      <w:pPr>
        <w:pStyle w:val="Bullet1"/>
      </w:pPr>
      <w:r>
        <w:t>accommodation occupied under a residential rental agreement, where the residential rental provider and, if appropriate, the head renter of the accommodation:</w:t>
      </w:r>
    </w:p>
    <w:p w:rsidR="00CD6D75" w:rsidP="005A3474" w:rsidRDefault="00CD6D75" w14:paraId="5A027226" w14:textId="13093B89">
      <w:pPr>
        <w:pStyle w:val="Bullet2"/>
      </w:pPr>
      <w:r>
        <w:t xml:space="preserve">does not receive funding from a specified entity or program to provide disability support at the accommodation; and </w:t>
      </w:r>
    </w:p>
    <w:p w:rsidR="00CD6D75" w:rsidP="005A3474" w:rsidRDefault="00CD6D75" w14:paraId="2AE212DE" w14:textId="2BA510FA">
      <w:pPr>
        <w:pStyle w:val="Bullet2"/>
      </w:pPr>
      <w:r>
        <w:t>has not entered into an agreement with a specified entity or program to provide disability support at the accommodation.</w:t>
      </w:r>
    </w:p>
    <w:p w:rsidR="00CD6D75" w:rsidP="00F43F6C" w:rsidRDefault="00CD6D75" w14:paraId="3DFA9A2D" w14:textId="70EE36E3">
      <w:pPr>
        <w:pStyle w:val="Bullet1"/>
      </w:pPr>
      <w:r>
        <w:t>a health or residential service</w:t>
      </w:r>
    </w:p>
    <w:p w:rsidR="00CD6D75" w:rsidP="00F43F6C" w:rsidRDefault="00CD6D75" w14:paraId="51F98DC8" w14:textId="495484E2">
      <w:pPr>
        <w:pStyle w:val="Bullet1"/>
      </w:pPr>
      <w:r>
        <w:t>temporary crisis accommodation</w:t>
      </w:r>
    </w:p>
    <w:p w:rsidR="00C2545F" w:rsidP="00F43F6C" w:rsidRDefault="00CD6D75" w14:paraId="65067E5E" w14:textId="614535A6">
      <w:pPr>
        <w:pStyle w:val="Bullet1"/>
      </w:pPr>
      <w:r>
        <w:t>short-term accommodation or accommodation that is used to provide respite or transitional accommodation.</w:t>
      </w:r>
    </w:p>
    <w:p w:rsidR="000E4BC4" w:rsidP="003F5FCD" w:rsidRDefault="00B74CCA" w14:paraId="43B428A8" w14:textId="12F106AE">
      <w:pPr>
        <w:pStyle w:val="Heading2"/>
      </w:pPr>
      <w:bookmarkStart w:name="_Toc166852406" w:id="34"/>
      <w:r>
        <w:t>New</w:t>
      </w:r>
      <w:r w:rsidR="000E4BC4">
        <w:t xml:space="preserve"> definition of SDA provider</w:t>
      </w:r>
      <w:bookmarkEnd w:id="34"/>
    </w:p>
    <w:p w:rsidR="005A3474" w:rsidP="005A3474" w:rsidRDefault="005A3474" w14:paraId="63846D30" w14:textId="6E1E9FCC">
      <w:pPr>
        <w:pStyle w:val="Body"/>
      </w:pPr>
      <w:r>
        <w:t>The term SDA provider is defined in the Residential Tenancies Act. This term will be updated from 1 July 2024.</w:t>
      </w:r>
    </w:p>
    <w:p w:rsidR="005A3474" w:rsidP="005A3474" w:rsidRDefault="005A3474" w14:paraId="1505AB1D" w14:textId="2C24F6AE">
      <w:pPr>
        <w:pStyle w:val="Body"/>
      </w:pPr>
      <w:r>
        <w:t>Prior t</w:t>
      </w:r>
      <w:r w:rsidR="008B7511">
        <w:t>o</w:t>
      </w:r>
      <w:r w:rsidR="00F933BF">
        <w:t xml:space="preserve"> </w:t>
      </w:r>
      <w:r>
        <w:t>1 July 2024, an SDA provider means:</w:t>
      </w:r>
    </w:p>
    <w:p w:rsidR="005A3474" w:rsidP="005A3474" w:rsidRDefault="005A3474" w14:paraId="6A5DA76C" w14:textId="744A03A0">
      <w:pPr>
        <w:pStyle w:val="Bullet1"/>
      </w:pPr>
      <w:r>
        <w:t>a person who is providing an SDA enrolled dwelling to an SDA resident with NDIS SDA funding.</w:t>
      </w:r>
    </w:p>
    <w:p w:rsidR="005A3474" w:rsidP="005A3474" w:rsidRDefault="005A3474" w14:paraId="57631180" w14:textId="7A1E938A">
      <w:pPr>
        <w:pStyle w:val="Body"/>
      </w:pPr>
      <w:r>
        <w:t xml:space="preserve">From 1 July 2024, SDA provider will mean a provider </w:t>
      </w:r>
      <w:r w:rsidR="008C6141">
        <w:t>that</w:t>
      </w:r>
      <w:r>
        <w:t>:</w:t>
      </w:r>
    </w:p>
    <w:p w:rsidR="005A3474" w:rsidP="005A3474" w:rsidRDefault="005A3474" w14:paraId="0EA3532A" w14:textId="24214CBB">
      <w:pPr>
        <w:pStyle w:val="Bullet1"/>
      </w:pPr>
      <w:r>
        <w:t>own</w:t>
      </w:r>
      <w:r w:rsidR="00D104C1">
        <w:t>s</w:t>
      </w:r>
      <w:r>
        <w:t xml:space="preserve"> or </w:t>
      </w:r>
      <w:r w:rsidR="003E4EFE">
        <w:t>is the leaseholder of</w:t>
      </w:r>
      <w:r>
        <w:t xml:space="preserve"> a property that meets the definition of SDA dwelling; and</w:t>
      </w:r>
    </w:p>
    <w:p w:rsidR="005A3474" w:rsidP="005A3474" w:rsidRDefault="008C6141" w14:paraId="42BC49AB" w14:textId="044D85FD">
      <w:pPr>
        <w:pStyle w:val="Bullet1"/>
      </w:pPr>
      <w:r>
        <w:t>rent</w:t>
      </w:r>
      <w:r w:rsidR="00D104C1">
        <w:t>s</w:t>
      </w:r>
      <w:r w:rsidR="005A3474">
        <w:t xml:space="preserve"> or propose</w:t>
      </w:r>
      <w:r w:rsidR="00D104C1">
        <w:t>s</w:t>
      </w:r>
      <w:r w:rsidR="005A3474">
        <w:t xml:space="preserve"> to </w:t>
      </w:r>
      <w:r>
        <w:t xml:space="preserve">rent a </w:t>
      </w:r>
      <w:r w:rsidR="005A3474">
        <w:t>property to an SDA resident under a residential rental agreement or an SDA residency agreement.</w:t>
      </w:r>
    </w:p>
    <w:p w:rsidR="005A3474" w:rsidP="005A3474" w:rsidRDefault="005A3474" w14:paraId="4C62EF00" w14:textId="7ED2FDED">
      <w:pPr>
        <w:pStyle w:val="Body"/>
      </w:pPr>
      <w:r>
        <w:t xml:space="preserve">An SDA provider may include an NDIS </w:t>
      </w:r>
      <w:r w:rsidR="00C85ED0">
        <w:t>SIL</w:t>
      </w:r>
      <w:r>
        <w:t xml:space="preserve"> provider or other type of disability accommodation and support provider.</w:t>
      </w:r>
    </w:p>
    <w:p w:rsidR="005A3474" w:rsidP="005A3474" w:rsidRDefault="005A3474" w14:paraId="0A77B097" w14:textId="6EAECD08">
      <w:pPr>
        <w:pStyle w:val="Body"/>
      </w:pPr>
      <w:r>
        <w:t>The owner of an SDA dwelling is not considered the SDA provider if:</w:t>
      </w:r>
    </w:p>
    <w:p w:rsidR="005A3474" w:rsidP="00525048" w:rsidRDefault="005A3474" w14:paraId="2CBE3F50" w14:textId="04E6D533">
      <w:pPr>
        <w:pStyle w:val="Bullet1"/>
      </w:pPr>
      <w:r>
        <w:t>the dwelling is sub-let to an NDIS provider or other disability and accommodation service provider, and</w:t>
      </w:r>
    </w:p>
    <w:p w:rsidR="005A3474" w:rsidP="005A3474" w:rsidRDefault="005A3474" w14:paraId="198FAB38" w14:textId="3034CD2C">
      <w:pPr>
        <w:pStyle w:val="Bullet1"/>
      </w:pPr>
      <w:r>
        <w:t>the provider who sub-lets the property then rents the property to one or more SDA residents.</w:t>
      </w:r>
    </w:p>
    <w:p w:rsidR="000E4BC4" w:rsidP="000E4BC4" w:rsidRDefault="005A3474" w14:paraId="1C850DB7" w14:textId="4316B900">
      <w:pPr>
        <w:pStyle w:val="Body"/>
      </w:pPr>
      <w:r>
        <w:t>In this case, the provider that is sub-letting the property to SDA residents is determined to be the SDA provider.</w:t>
      </w:r>
    </w:p>
    <w:p w:rsidR="00403EFC" w:rsidP="003F5FCD" w:rsidRDefault="00B74CCA" w14:paraId="04DCFFC9" w14:textId="18D53C14">
      <w:pPr>
        <w:pStyle w:val="Heading2"/>
      </w:pPr>
      <w:bookmarkStart w:name="_Toc166852407" w:id="35"/>
      <w:r>
        <w:t>New</w:t>
      </w:r>
      <w:r w:rsidR="00403EFC">
        <w:t xml:space="preserve"> definition of SDA </w:t>
      </w:r>
      <w:r w:rsidR="00F22A6F">
        <w:t>resident</w:t>
      </w:r>
      <w:bookmarkEnd w:id="35"/>
    </w:p>
    <w:p w:rsidR="00500797" w:rsidP="00500797" w:rsidRDefault="00500797" w14:paraId="5AB37297" w14:textId="710EA4AA">
      <w:pPr>
        <w:pStyle w:val="Body"/>
      </w:pPr>
      <w:r>
        <w:t>The term SDA resident is defined in the Residential Tenancies Act.</w:t>
      </w:r>
    </w:p>
    <w:p w:rsidR="00500797" w:rsidP="00500797" w:rsidRDefault="00500797" w14:paraId="313FE871" w14:textId="77777777">
      <w:pPr>
        <w:pStyle w:val="Body"/>
      </w:pPr>
      <w:r>
        <w:t>Prior to 1 July 2024, an SDA resident means a person with disability living in an SDA enrolled dwelling who has NDIS SDA funding.</w:t>
      </w:r>
    </w:p>
    <w:p w:rsidR="00500797" w:rsidP="00500797" w:rsidRDefault="00500797" w14:paraId="7BC50BDE" w14:textId="1CA35454">
      <w:pPr>
        <w:pStyle w:val="Body"/>
      </w:pPr>
      <w:r>
        <w:t>From 1 July 2024, SDA resident will mean a person with disability who:</w:t>
      </w:r>
    </w:p>
    <w:p w:rsidR="00500797" w:rsidP="00500797" w:rsidRDefault="00500797" w14:paraId="5165352A" w14:textId="715AA610">
      <w:pPr>
        <w:pStyle w:val="Bullet1"/>
      </w:pPr>
      <w:r>
        <w:t xml:space="preserve">receives, or is eligible to receive, funded daily independent living support; and   </w:t>
      </w:r>
    </w:p>
    <w:p w:rsidR="00A23C33" w:rsidP="00A23C33" w:rsidRDefault="00500797" w14:paraId="3A020053" w14:textId="77777777">
      <w:pPr>
        <w:pStyle w:val="Bullet1"/>
      </w:pPr>
      <w:r>
        <w:t>is living in, or proposes to live in an SDA dwelling (including an SDA enrolled dwelling) under:</w:t>
      </w:r>
    </w:p>
    <w:p w:rsidR="00A23C33" w:rsidP="00A23C33" w:rsidRDefault="00500797" w14:paraId="48830259" w14:textId="7A0E5012">
      <w:pPr>
        <w:pStyle w:val="Bullet1"/>
        <w:numPr>
          <w:ilvl w:val="1"/>
          <w:numId w:val="8"/>
        </w:numPr>
        <w:ind w:left="709"/>
      </w:pPr>
      <w:r>
        <w:t>an SDA residency agreement</w:t>
      </w:r>
      <w:r w:rsidR="00A23C33">
        <w:t>, or</w:t>
      </w:r>
    </w:p>
    <w:p w:rsidR="00F55233" w:rsidP="00A23C33" w:rsidRDefault="00500797" w14:paraId="6C055D6F" w14:textId="3BE48304">
      <w:pPr>
        <w:pStyle w:val="Bullet1"/>
        <w:numPr>
          <w:ilvl w:val="1"/>
          <w:numId w:val="8"/>
        </w:numPr>
        <w:ind w:left="709"/>
      </w:pPr>
      <w:r>
        <w:t>a residential rental agreement.</w:t>
      </w:r>
    </w:p>
    <w:p w:rsidRPr="004C28B5" w:rsidR="00B74CCA" w:rsidP="00EC6960" w:rsidRDefault="00EC6960" w14:paraId="4968A46D" w14:textId="511D8F4E">
      <w:pPr>
        <w:pStyle w:val="Heading1"/>
      </w:pPr>
      <w:bookmarkStart w:name="_Toc166852408" w:id="36"/>
      <w:r>
        <w:t>Choice of residential agreement</w:t>
      </w:r>
      <w:bookmarkEnd w:id="36"/>
    </w:p>
    <w:p w:rsidR="00543E24" w:rsidP="003F5FCD" w:rsidRDefault="00C16719" w14:paraId="59FADC35" w14:textId="2B23F34B">
      <w:pPr>
        <w:pStyle w:val="Heading2"/>
      </w:pPr>
      <w:bookmarkStart w:name="_Toc166852409" w:id="37"/>
      <w:r>
        <w:t>Key d</w:t>
      </w:r>
      <w:r w:rsidR="0017719B">
        <w:t>ifference</w:t>
      </w:r>
      <w:r>
        <w:t>s</w:t>
      </w:r>
      <w:r w:rsidR="0017719B">
        <w:t xml:space="preserve"> </w:t>
      </w:r>
      <w:r w:rsidRPr="0017719B" w:rsidR="0017719B">
        <w:t>between residential rental agreement</w:t>
      </w:r>
      <w:r>
        <w:t xml:space="preserve">s </w:t>
      </w:r>
      <w:r w:rsidRPr="0017719B" w:rsidR="0017719B">
        <w:t>and SDA residency agreement</w:t>
      </w:r>
      <w:r>
        <w:t>s</w:t>
      </w:r>
      <w:bookmarkEnd w:id="37"/>
    </w:p>
    <w:p w:rsidR="00966B79" w:rsidP="00966B79" w:rsidRDefault="00966B79" w14:paraId="401FDC21" w14:textId="77777777">
      <w:pPr>
        <w:pStyle w:val="Body"/>
      </w:pPr>
      <w:r>
        <w:t>Under the Residential Tenancies Act, an SDA resident may choose a:</w:t>
      </w:r>
    </w:p>
    <w:p w:rsidR="00966B79" w:rsidP="0017719B" w:rsidRDefault="00966B79" w14:paraId="214CA34D" w14:textId="5B75FAAE">
      <w:pPr>
        <w:pStyle w:val="Bullet1"/>
      </w:pPr>
      <w:r>
        <w:t>residential rental agreement</w:t>
      </w:r>
      <w:r w:rsidR="00A23C33">
        <w:t>,</w:t>
      </w:r>
      <w:r w:rsidR="002514D7">
        <w:t xml:space="preserve"> or</w:t>
      </w:r>
    </w:p>
    <w:p w:rsidR="00966B79" w:rsidP="0017719B" w:rsidRDefault="00966B79" w14:paraId="14217520" w14:textId="54EF3F70">
      <w:pPr>
        <w:pStyle w:val="Bullet1"/>
      </w:pPr>
      <w:r>
        <w:t>SDA residency agreement.</w:t>
      </w:r>
    </w:p>
    <w:p w:rsidR="00B74CCA" w:rsidP="00B74CCA" w:rsidRDefault="00B74CCA" w14:paraId="10C05A35" w14:textId="48545B31">
      <w:pPr>
        <w:pStyle w:val="Bullet1"/>
        <w:numPr>
          <w:ilvl w:val="0"/>
          <w:numId w:val="0"/>
        </w:numPr>
      </w:pPr>
      <w:r>
        <w:t xml:space="preserve">The key differences between </w:t>
      </w:r>
      <w:r w:rsidRPr="00B87981" w:rsidR="00B87981">
        <w:t>a residential rental agreement and an SDA residency agreement</w:t>
      </w:r>
      <w:r w:rsidR="00B87981">
        <w:t xml:space="preserve"> are set out below.</w:t>
      </w:r>
    </w:p>
    <w:p w:rsidR="00966B79" w:rsidP="00966B79" w:rsidRDefault="00966B79" w14:paraId="5A462BAB" w14:textId="77777777">
      <w:pPr>
        <w:pStyle w:val="Body"/>
      </w:pPr>
      <w:r>
        <w:t>An SDA residency agreement:</w:t>
      </w:r>
    </w:p>
    <w:p w:rsidR="00966B79" w:rsidP="0017719B" w:rsidRDefault="00966B79" w14:paraId="510637E8" w14:textId="38F0CE97">
      <w:pPr>
        <w:pStyle w:val="Bullet1"/>
      </w:pPr>
      <w:r>
        <w:t>provides enhanced residential protections against eviction, rent increases and bond payments for SDA residents, and unannounced visits by community visitors</w:t>
      </w:r>
    </w:p>
    <w:p w:rsidR="00966B79" w:rsidP="0017719B" w:rsidRDefault="00966B79" w14:paraId="769B91A0" w14:textId="69AD9593">
      <w:pPr>
        <w:pStyle w:val="Bullet1"/>
      </w:pPr>
      <w:r>
        <w:t>is an individual agreement and each resident in a house will have their own SDA residency agreement</w:t>
      </w:r>
    </w:p>
    <w:p w:rsidR="00966B79" w:rsidP="0017719B" w:rsidRDefault="00966B79" w14:paraId="492E98DE" w14:textId="753853B8">
      <w:pPr>
        <w:pStyle w:val="Bullet1"/>
      </w:pPr>
      <w:r>
        <w:t>is more appropriate for a shared accommodation setting where multiple SDA residents live and access supports.</w:t>
      </w:r>
    </w:p>
    <w:p w:rsidR="00966B79" w:rsidP="00966B79" w:rsidRDefault="00966B79" w14:paraId="1BAB4C4D" w14:textId="5AB14717">
      <w:pPr>
        <w:pStyle w:val="Body"/>
      </w:pPr>
      <w:r>
        <w:t>A residential rental agreement</w:t>
      </w:r>
      <w:r w:rsidR="2EFD82DF">
        <w:t xml:space="preserve"> </w:t>
      </w:r>
      <w:r w:rsidR="567DACE5">
        <w:t>(</w:t>
      </w:r>
      <w:r w:rsidR="00A23C33">
        <w:t>refer to</w:t>
      </w:r>
      <w:r w:rsidR="567DACE5">
        <w:t xml:space="preserve"> </w:t>
      </w:r>
      <w:hyperlink w:anchor="_Glossary_of_terms">
        <w:r w:rsidRPr="3DD33DD4" w:rsidR="567DACE5">
          <w:rPr>
            <w:rStyle w:val="Hyperlink"/>
          </w:rPr>
          <w:t>Glossary of terms</w:t>
        </w:r>
      </w:hyperlink>
      <w:r w:rsidR="567DACE5">
        <w:t>):</w:t>
      </w:r>
    </w:p>
    <w:p w:rsidR="00966B79" w:rsidP="0017719B" w:rsidRDefault="00966B79" w14:paraId="159ADCAC" w14:textId="6E40F5E8">
      <w:pPr>
        <w:pStyle w:val="Bullet1"/>
      </w:pPr>
      <w:r>
        <w:t>requires everyone in the house to be on one shared agreement</w:t>
      </w:r>
    </w:p>
    <w:p w:rsidR="00966B79" w:rsidP="0017719B" w:rsidRDefault="00966B79" w14:paraId="71107CE3" w14:textId="6298819F">
      <w:pPr>
        <w:pStyle w:val="Bullet1"/>
      </w:pPr>
      <w:r>
        <w:t>allows residents the option to live with a mix of SDA and non-SDA residents</w:t>
      </w:r>
    </w:p>
    <w:p w:rsidR="00966B79" w:rsidP="0017719B" w:rsidRDefault="00966B79" w14:paraId="2093F878" w14:textId="4CD6D02F">
      <w:pPr>
        <w:pStyle w:val="Bullet1"/>
      </w:pPr>
      <w:r>
        <w:t xml:space="preserve">is more appropriate where an SDA resident wishes to live with </w:t>
      </w:r>
      <w:r w:rsidR="00A21EAF">
        <w:t xml:space="preserve">a spouse, </w:t>
      </w:r>
      <w:r>
        <w:t>friend</w:t>
      </w:r>
      <w:r w:rsidR="00A21EAF">
        <w:t xml:space="preserve"> or</w:t>
      </w:r>
      <w:r>
        <w:t xml:space="preserve"> family who are not SDA residents</w:t>
      </w:r>
      <w:r w:rsidR="00A21EAF">
        <w:t>.</w:t>
      </w:r>
    </w:p>
    <w:p w:rsidR="00F55233" w:rsidP="0017719B" w:rsidRDefault="00966B79" w14:paraId="1ADAEE2C" w14:textId="6307328C">
      <w:pPr>
        <w:pStyle w:val="Bodyafterbullets"/>
      </w:pPr>
      <w:r>
        <w:t xml:space="preserve">For more information about the differences between an SDA residency agreement and a residential rental agreement, please visit </w:t>
      </w:r>
      <w:hyperlink w:history="1" r:id="rId15">
        <w:r w:rsidRPr="002B7713" w:rsidR="00EA4662">
          <w:rPr>
            <w:rStyle w:val="Hyperlink"/>
          </w:rPr>
          <w:t>Consumer Affairs Victoria website</w:t>
        </w:r>
      </w:hyperlink>
      <w:r>
        <w:t>.</w:t>
      </w:r>
      <w:r w:rsidR="00451942">
        <w:rPr>
          <w:rStyle w:val="FootnoteReference"/>
        </w:rPr>
        <w:footnoteReference w:id="4"/>
      </w:r>
    </w:p>
    <w:p w:rsidR="007772E1" w:rsidP="007772E1" w:rsidRDefault="00A21EAF" w14:paraId="5CC1B952" w14:textId="0E2EAA80">
      <w:pPr>
        <w:pStyle w:val="Bodyafterbullets"/>
      </w:pPr>
      <w:r w:rsidRPr="00D737EB">
        <w:rPr>
          <w:b/>
          <w:bCs/>
        </w:rPr>
        <w:t>Note:</w:t>
      </w:r>
      <w:r w:rsidR="00EC6960">
        <w:t xml:space="preserve"> </w:t>
      </w:r>
      <w:r>
        <w:t>A</w:t>
      </w:r>
      <w:r w:rsidRPr="00C520EC">
        <w:t xml:space="preserve">ll </w:t>
      </w:r>
      <w:r w:rsidRPr="00C520EC" w:rsidR="00C520EC">
        <w:t xml:space="preserve">residents in an SDA dwelling must be on the same type of agreement. This means that all residents can have individual SDA residency </w:t>
      </w:r>
      <w:r w:rsidRPr="00C520EC" w:rsidR="007B4FD7">
        <w:t>agreements,</w:t>
      </w:r>
      <w:r w:rsidRPr="00C520EC" w:rsidR="00C520EC">
        <w:t xml:space="preserve"> or all residents can be on a single residential rental agreement.</w:t>
      </w:r>
    </w:p>
    <w:p w:rsidR="00C520EC" w:rsidP="007772E1" w:rsidRDefault="007B4FD7" w14:paraId="72248A5D" w14:textId="3233E0A4">
      <w:pPr>
        <w:pStyle w:val="Bodyafterbullets"/>
      </w:pPr>
      <w:r w:rsidRPr="007B4FD7">
        <w:t xml:space="preserve">If an SDA resident chooses to live with </w:t>
      </w:r>
      <w:r w:rsidR="0006754E">
        <w:t xml:space="preserve">a </w:t>
      </w:r>
      <w:r w:rsidRPr="007B4FD7">
        <w:t xml:space="preserve">person who is not an SDA resident (for example with their spouse or in a share house with friends who are not SDA residents), the SDA resident and any other resident living at the SDA dwelling will need to enter a residential </w:t>
      </w:r>
      <w:r w:rsidR="00403155">
        <w:t>rental</w:t>
      </w:r>
      <w:r w:rsidRPr="007B4FD7">
        <w:t xml:space="preserve"> agreement.</w:t>
      </w:r>
    </w:p>
    <w:p w:rsidR="0050620B" w:rsidP="003F5FCD" w:rsidRDefault="00EC6960" w14:paraId="3BA8AD3A" w14:textId="78A87609">
      <w:pPr>
        <w:pStyle w:val="Heading2"/>
      </w:pPr>
      <w:bookmarkStart w:name="_Toc166852410" w:id="38"/>
      <w:r>
        <w:t>E</w:t>
      </w:r>
      <w:r w:rsidRPr="00F4746A" w:rsidR="00F4746A">
        <w:t xml:space="preserve">ntering and establishing </w:t>
      </w:r>
      <w:r>
        <w:t xml:space="preserve">an </w:t>
      </w:r>
      <w:r w:rsidRPr="00F4746A" w:rsidR="00F4746A">
        <w:t xml:space="preserve">SDA </w:t>
      </w:r>
      <w:r>
        <w:t xml:space="preserve">residency </w:t>
      </w:r>
      <w:r w:rsidRPr="00F4746A" w:rsidR="00F4746A">
        <w:t>agreement</w:t>
      </w:r>
      <w:bookmarkEnd w:id="38"/>
    </w:p>
    <w:p w:rsidR="00F87D06" w:rsidP="00F87D06" w:rsidRDefault="00F87D06" w14:paraId="0DF88E69" w14:textId="627AB5A2">
      <w:pPr>
        <w:pStyle w:val="Body"/>
      </w:pPr>
      <w:r>
        <w:t>An SDA residency agreement can either be entered into or established with an SDA resident.</w:t>
      </w:r>
    </w:p>
    <w:p w:rsidR="00F87D06" w:rsidP="00F87D06" w:rsidRDefault="00F87D06" w14:paraId="137C088C" w14:textId="77777777">
      <w:pPr>
        <w:pStyle w:val="Body"/>
      </w:pPr>
      <w:r>
        <w:t>An SDA provider and an SDA resident can:</w:t>
      </w:r>
    </w:p>
    <w:p w:rsidR="00F87D06" w:rsidP="00F87D06" w:rsidRDefault="00F87D06" w14:paraId="18609CE5" w14:textId="13170816">
      <w:pPr>
        <w:pStyle w:val="Bullet1"/>
      </w:pPr>
      <w:r>
        <w:t xml:space="preserve">enter </w:t>
      </w:r>
      <w:r w:rsidR="00403155">
        <w:t xml:space="preserve">into </w:t>
      </w:r>
      <w:r>
        <w:t>an SDA agreement if the resident understands the information statement and can sign the agreement</w:t>
      </w:r>
      <w:r w:rsidR="00403155">
        <w:t>, or</w:t>
      </w:r>
    </w:p>
    <w:p w:rsidR="00F87D06" w:rsidP="00F87D06" w:rsidRDefault="00F87D06" w14:paraId="4D6FB799" w14:textId="4F8691AA">
      <w:pPr>
        <w:pStyle w:val="Bullet1"/>
      </w:pPr>
      <w:r>
        <w:t xml:space="preserve">establish an SDA agreement if the resident cannot understand or sign the agreement. </w:t>
      </w:r>
    </w:p>
    <w:p w:rsidR="00F87D06" w:rsidP="00F87D06" w:rsidRDefault="00F87D06" w14:paraId="49EC0BF8" w14:textId="0CFA1E9E">
      <w:pPr>
        <w:pStyle w:val="Body"/>
      </w:pPr>
      <w:r>
        <w:t>Information about how to enter</w:t>
      </w:r>
      <w:r w:rsidR="00EE50FF">
        <w:t xml:space="preserve"> into</w:t>
      </w:r>
      <w:r>
        <w:t xml:space="preserve"> or establish an SDA residency agreement is available at the </w:t>
      </w:r>
      <w:hyperlink w:history="1" r:id="rId16">
        <w:r w:rsidRPr="002B7713" w:rsidR="00EA4662">
          <w:rPr>
            <w:rStyle w:val="Hyperlink"/>
          </w:rPr>
          <w:t>Consumer Affairs Victoria website</w:t>
        </w:r>
      </w:hyperlink>
      <w:r>
        <w:t>.</w:t>
      </w:r>
      <w:r w:rsidR="00583D7C">
        <w:rPr>
          <w:rStyle w:val="FootnoteReference"/>
        </w:rPr>
        <w:footnoteReference w:id="5"/>
      </w:r>
    </w:p>
    <w:p w:rsidR="005F0628" w:rsidP="003F5FCD" w:rsidRDefault="00EC6960" w14:paraId="5CA41117" w14:textId="3AB9C1C0">
      <w:pPr>
        <w:pStyle w:val="Heading2"/>
      </w:pPr>
      <w:bookmarkStart w:name="_Toc166852411" w:id="39"/>
      <w:r>
        <w:t>R</w:t>
      </w:r>
      <w:r w:rsidR="00CD6369">
        <w:t>egister</w:t>
      </w:r>
      <w:r>
        <w:t>ing an</w:t>
      </w:r>
      <w:r w:rsidR="00CD6369">
        <w:t xml:space="preserve"> </w:t>
      </w:r>
      <w:r w:rsidRPr="00CD6369" w:rsidR="00CD6369">
        <w:t>SDA residency agreement</w:t>
      </w:r>
      <w:bookmarkEnd w:id="39"/>
    </w:p>
    <w:p w:rsidR="00CD6369" w:rsidP="00CD6369" w:rsidRDefault="000105DB" w14:paraId="2A80B3CC" w14:textId="25155AD4">
      <w:pPr>
        <w:pStyle w:val="Body"/>
      </w:pPr>
      <w:r>
        <w:t xml:space="preserve">If </w:t>
      </w:r>
      <w:r w:rsidR="00CD6369">
        <w:t xml:space="preserve">an SDA residency agreement is entered </w:t>
      </w:r>
      <w:r w:rsidR="00EE50FF">
        <w:t xml:space="preserve">into </w:t>
      </w:r>
      <w:r w:rsidR="00CD6369">
        <w:t>or established, an SDA provider must:</w:t>
      </w:r>
    </w:p>
    <w:p w:rsidR="00CD6369" w:rsidP="00CD6369" w:rsidRDefault="00CD6369" w14:paraId="267E69E2" w14:textId="10DE42FC">
      <w:pPr>
        <w:pStyle w:val="Bullet1"/>
      </w:pPr>
      <w:r>
        <w:t>notify Consumer Affairs Victoria in writing within 14 days; and</w:t>
      </w:r>
    </w:p>
    <w:p w:rsidR="00CD6369" w:rsidP="00CD6369" w:rsidRDefault="00CD6369" w14:paraId="5AB0D599" w14:textId="0EC433C9">
      <w:pPr>
        <w:pStyle w:val="Bullet1"/>
      </w:pPr>
      <w:r>
        <w:t>give a copy of the SDA residency agreement to the SDA resident and their guardian or administrator (as applicable).</w:t>
      </w:r>
    </w:p>
    <w:p w:rsidR="005F0628" w:rsidP="00F87D06" w:rsidRDefault="00CD6369" w14:paraId="31C3658B" w14:textId="17F9089A">
      <w:pPr>
        <w:pStyle w:val="Body"/>
      </w:pPr>
      <w:r>
        <w:t xml:space="preserve">Information about notifying Consumer Affairs Victoria of an SDA residency agreement is available at the </w:t>
      </w:r>
      <w:hyperlink w:history="1" r:id="rId17">
        <w:r w:rsidRPr="002B7713" w:rsidR="00EA4662">
          <w:rPr>
            <w:rStyle w:val="Hyperlink"/>
          </w:rPr>
          <w:t>Consumer Affairs Victoria website</w:t>
        </w:r>
      </w:hyperlink>
      <w:r w:rsidR="00EA4662">
        <w:t>.</w:t>
      </w:r>
      <w:r w:rsidR="00EA4662">
        <w:rPr>
          <w:rStyle w:val="FootnoteReference"/>
        </w:rPr>
        <w:footnoteReference w:id="6"/>
      </w:r>
    </w:p>
    <w:p w:rsidR="00F87D06" w:rsidP="00EC6960" w:rsidRDefault="00EC6960" w14:paraId="693029C6" w14:textId="67C5F99B">
      <w:pPr>
        <w:pStyle w:val="Heading1"/>
      </w:pPr>
      <w:bookmarkStart w:name="_Changes_to_residential" w:id="40"/>
      <w:bookmarkStart w:name="_Toc166852412" w:id="41"/>
      <w:bookmarkEnd w:id="40"/>
      <w:r>
        <w:t>Other changes</w:t>
      </w:r>
      <w:bookmarkEnd w:id="41"/>
    </w:p>
    <w:p w:rsidR="00372382" w:rsidP="003F5FCD" w:rsidRDefault="00BB0770" w14:paraId="4B0CFE81" w14:textId="6ABF4F8F">
      <w:pPr>
        <w:pStyle w:val="Heading2"/>
      </w:pPr>
      <w:bookmarkStart w:name="_Changes_to_residential_1" w:id="42"/>
      <w:bookmarkStart w:name="_Ref164851225" w:id="43"/>
      <w:bookmarkStart w:name="_Ref164851253" w:id="44"/>
      <w:bookmarkStart w:name="_Ref164851301" w:id="45"/>
      <w:bookmarkStart w:name="_Ref164851481" w:id="46"/>
      <w:bookmarkStart w:name="_Toc166852413" w:id="47"/>
      <w:bookmarkEnd w:id="42"/>
      <w:r>
        <w:t xml:space="preserve">Changes to residential notices for </w:t>
      </w:r>
      <w:r w:rsidRPr="00BB0770">
        <w:t>SDA residency agreement</w:t>
      </w:r>
      <w:r>
        <w:t>s</w:t>
      </w:r>
      <w:bookmarkEnd w:id="43"/>
      <w:bookmarkEnd w:id="44"/>
      <w:bookmarkEnd w:id="45"/>
      <w:bookmarkEnd w:id="46"/>
      <w:bookmarkEnd w:id="47"/>
    </w:p>
    <w:p w:rsidR="002D6745" w:rsidP="002D6745" w:rsidRDefault="002D6745" w14:paraId="51B71AEE" w14:textId="69EDD534">
      <w:pPr>
        <w:pStyle w:val="Body"/>
      </w:pPr>
      <w:r>
        <w:t>The changes will streamline requirements for residential notices issued by SDA providers under</w:t>
      </w:r>
      <w:r w:rsidR="00D90FCF">
        <w:t xml:space="preserve"> the </w:t>
      </w:r>
      <w:r>
        <w:t>Residential Tenancies Act.</w:t>
      </w:r>
    </w:p>
    <w:p w:rsidR="002D6745" w:rsidP="002D6745" w:rsidRDefault="002D6745" w14:paraId="789106A2" w14:textId="48312B11">
      <w:pPr>
        <w:pStyle w:val="Body"/>
      </w:pPr>
      <w:r>
        <w:t>From 1 July 2024, the changes will remove the requirement for SDA providers to notify the Public Advocate directly of certain residential notices issued to SDA residents under an SDA residency agreement.</w:t>
      </w:r>
    </w:p>
    <w:p w:rsidR="00016C58" w:rsidP="002D6745" w:rsidRDefault="002D6745" w14:paraId="16D57DFC" w14:textId="77777777">
      <w:pPr>
        <w:pStyle w:val="Body"/>
      </w:pPr>
      <w:r>
        <w:t>Instead, SDA providers will need to notify the Director of Consumer Affairs Victoria, who will then notify the Public Advocate and other funding bodies or authorities</w:t>
      </w:r>
      <w:r w:rsidR="005F3A2E">
        <w:t xml:space="preserve">. </w:t>
      </w:r>
    </w:p>
    <w:p w:rsidR="002D6745" w:rsidP="002D6745" w:rsidRDefault="00016C58" w14:paraId="6EB85D73" w14:textId="29DD7585">
      <w:pPr>
        <w:pStyle w:val="Body"/>
      </w:pPr>
      <w:r>
        <w:t>R</w:t>
      </w:r>
      <w:r w:rsidR="00B5710D">
        <w:t>equirement</w:t>
      </w:r>
      <w:r>
        <w:t>s</w:t>
      </w:r>
      <w:r w:rsidR="00B5710D">
        <w:t xml:space="preserve"> </w:t>
      </w:r>
      <w:r>
        <w:t xml:space="preserve">for SDA providers to </w:t>
      </w:r>
      <w:r w:rsidR="00C16861">
        <w:t xml:space="preserve">also </w:t>
      </w:r>
      <w:r>
        <w:t>notify the National Disability Insurance Agency (</w:t>
      </w:r>
      <w:r w:rsidRPr="00104E46">
        <w:rPr>
          <w:b/>
        </w:rPr>
        <w:t>NDIA</w:t>
      </w:r>
      <w:r>
        <w:t xml:space="preserve">) of certain residential notices issued or received in respect of an SDA residency agreement with an </w:t>
      </w:r>
      <w:r w:rsidR="002D6745">
        <w:t>NDIS participant</w:t>
      </w:r>
      <w:r>
        <w:t>, have not changed</w:t>
      </w:r>
      <w:r w:rsidR="002D6745">
        <w:t>.</w:t>
      </w:r>
    </w:p>
    <w:p w:rsidR="00FB7188" w:rsidP="00F87D06" w:rsidRDefault="002D6745" w14:paraId="41D3AC88" w14:textId="4363C3DD">
      <w:pPr>
        <w:pStyle w:val="Body"/>
      </w:pPr>
      <w:r>
        <w:t xml:space="preserve">Information on notification requirements is available at the </w:t>
      </w:r>
      <w:hyperlink w:history="1" r:id="rId18">
        <w:r w:rsidRPr="002B7713" w:rsidR="00EA4662">
          <w:rPr>
            <w:rStyle w:val="Hyperlink"/>
          </w:rPr>
          <w:t>Consumer Affairs Victoria website</w:t>
        </w:r>
      </w:hyperlink>
      <w:r w:rsidR="00EA4662">
        <w:t>.</w:t>
      </w:r>
      <w:r w:rsidR="00EA4662">
        <w:rPr>
          <w:rStyle w:val="FootnoteReference"/>
        </w:rPr>
        <w:footnoteReference w:id="7"/>
      </w:r>
    </w:p>
    <w:p w:rsidR="00614616" w:rsidP="003F5FCD" w:rsidRDefault="00EC6960" w14:paraId="7137C480" w14:textId="60A6E174">
      <w:pPr>
        <w:pStyle w:val="Heading2"/>
      </w:pPr>
      <w:bookmarkStart w:name="_Toc166852414" w:id="48"/>
      <w:r>
        <w:t>Changes to who</w:t>
      </w:r>
      <w:r w:rsidR="00AA6218">
        <w:t xml:space="preserve"> community visitors can visit</w:t>
      </w:r>
      <w:bookmarkEnd w:id="48"/>
    </w:p>
    <w:p w:rsidR="00FE0693" w:rsidP="00FE0693" w:rsidRDefault="00FE0693" w14:paraId="05F9F8ED" w14:textId="76DF5C1C">
      <w:pPr>
        <w:pStyle w:val="Body"/>
      </w:pPr>
      <w:r>
        <w:t xml:space="preserve">The changes to the Residential Tenancies Act will expand the range of disability accommodation settings that </w:t>
      </w:r>
      <w:r w:rsidR="00D502AB">
        <w:t>c</w:t>
      </w:r>
      <w:r>
        <w:t xml:space="preserve">ommunity </w:t>
      </w:r>
      <w:r w:rsidR="00D502AB">
        <w:t>v</w:t>
      </w:r>
      <w:r>
        <w:t>isitors can visit.</w:t>
      </w:r>
    </w:p>
    <w:p w:rsidR="00FE0693" w:rsidP="00FE0693" w:rsidRDefault="00FE0693" w14:paraId="669D298F" w14:textId="77777777">
      <w:pPr>
        <w:pStyle w:val="Body"/>
      </w:pPr>
      <w:r>
        <w:t>When the changes to the Residential Tenancies Act commence on 1 July 2024, Community Visitors will be empowered to:</w:t>
      </w:r>
    </w:p>
    <w:p w:rsidR="00FE0693" w:rsidP="00FE0693" w:rsidRDefault="00FE0693" w14:paraId="36503F39" w14:textId="01BDF64C">
      <w:pPr>
        <w:pStyle w:val="Bullet1"/>
      </w:pPr>
      <w:r>
        <w:t>visit an SDA dwelling (including an SDA enrolled dwelling) unannounced, where an SDA residency agreement is in place</w:t>
      </w:r>
    </w:p>
    <w:p w:rsidR="00FE0693" w:rsidP="00FE0693" w:rsidRDefault="00FE0693" w14:paraId="3F96333E" w14:textId="71DD9348">
      <w:pPr>
        <w:pStyle w:val="Bullet1"/>
      </w:pPr>
      <w:r>
        <w:t xml:space="preserve">visit an SDA dwelling (including an SDA enrolled dwelling) where a residential rental agreement is in place </w:t>
      </w:r>
      <w:r w:rsidR="0069221D">
        <w:t>–</w:t>
      </w:r>
      <w:r>
        <w:t xml:space="preserve"> only if a resident or another person on their behalf requests a visit.</w:t>
      </w:r>
    </w:p>
    <w:p w:rsidR="00556DF6" w:rsidP="78CD7686" w:rsidRDefault="00FE0693" w14:paraId="69E88818" w14:textId="631A4DCD">
      <w:pPr>
        <w:pStyle w:val="Bodyafterbullets"/>
        <w:rPr>
          <w:i w:val="0"/>
          <w:iCs w:val="0"/>
        </w:rPr>
      </w:pPr>
      <w:r w:rsidR="00FE0693">
        <w:rPr/>
        <w:t xml:space="preserve">A summary of changes </w:t>
      </w:r>
      <w:r w:rsidR="00360D5F">
        <w:rPr/>
        <w:t>to the rules for community visit</w:t>
      </w:r>
      <w:r w:rsidR="0069221D">
        <w:rPr/>
        <w:t>or</w:t>
      </w:r>
      <w:r w:rsidR="00360D5F">
        <w:rPr/>
        <w:t xml:space="preserve">s </w:t>
      </w:r>
      <w:r w:rsidR="00FE0693">
        <w:rPr/>
        <w:t xml:space="preserve">made by the </w:t>
      </w:r>
      <w:r w:rsidR="00360D5F">
        <w:rPr/>
        <w:t>Amendment Act</w:t>
      </w:r>
      <w:r w:rsidR="00FE0693">
        <w:rPr/>
        <w:t xml:space="preserve"> is available at the Department of Families, Fairness and Ho</w:t>
      </w:r>
      <w:r w:rsidRPr="78CD7686" w:rsidR="00FE0693">
        <w:rPr>
          <w:i w:val="0"/>
          <w:iCs w:val="0"/>
        </w:rPr>
        <w:t xml:space="preserve">using </w:t>
      </w:r>
      <w:hyperlink w:history="1" r:id="Re0ab16ad2b9a4f1a">
        <w:r w:rsidRPr="78CD7686" w:rsidR="00FE0693">
          <w:rPr>
            <w:rStyle w:val="Hyperlink"/>
            <w:i w:val="0"/>
            <w:iCs w:val="0"/>
          </w:rPr>
          <w:t>Disability and Social Services Regulation Amendment Act 2023</w:t>
        </w:r>
        <w:r w:rsidRPr="78CD7686" w:rsidR="00FE0693">
          <w:rPr>
            <w:rStyle w:val="Hyperlink"/>
            <w:i w:val="0"/>
            <w:iCs w:val="0"/>
          </w:rPr>
          <w:t xml:space="preserve"> webpage</w:t>
        </w:r>
      </w:hyperlink>
      <w:r w:rsidRPr="78CD7686" w:rsidR="00FE0693">
        <w:rPr>
          <w:i w:val="0"/>
          <w:iCs w:val="0"/>
        </w:rPr>
        <w:t>.</w:t>
      </w:r>
      <w:bookmarkStart w:name="_Appendix_1:_Links" w:id="49"/>
      <w:bookmarkStart w:name="_Toc139635300" w:id="50"/>
      <w:bookmarkStart w:name="_Toc139635631" w:id="51"/>
      <w:bookmarkStart w:name="_Toc151042670" w:id="52"/>
      <w:bookmarkEnd w:id="14"/>
      <w:bookmarkEnd w:id="49"/>
      <w:r w:rsidRPr="78CD7686" w:rsidR="00A341C8">
        <w:rPr>
          <w:rStyle w:val="FootnoteReference"/>
          <w:i w:val="0"/>
          <w:iCs w:val="0"/>
        </w:rPr>
        <w:footnoteReference w:id="8"/>
      </w:r>
    </w:p>
    <w:p w:rsidRPr="00984196" w:rsidR="00984196" w:rsidP="00984196" w:rsidRDefault="00984196" w14:paraId="4F7586BC" w14:textId="31CFC192">
      <w:pPr>
        <w:pStyle w:val="Heading2"/>
      </w:pPr>
      <w:bookmarkStart w:name="_Toc166852415" w:id="53"/>
      <w:r w:rsidRPr="00C65A45">
        <w:t>Offen</w:t>
      </w:r>
      <w:r w:rsidRPr="00984196">
        <w:t>ces</w:t>
      </w:r>
      <w:bookmarkEnd w:id="53"/>
    </w:p>
    <w:p w:rsidR="00B805DC" w:rsidRDefault="002E44C0" w14:paraId="7CDB2D7A" w14:textId="50C30916">
      <w:pPr>
        <w:pStyle w:val="Body"/>
      </w:pPr>
      <w:r>
        <w:t>Some SDA providers will have new obligations from 1 July 2024 (</w:t>
      </w:r>
      <w:r w:rsidR="00590DF2">
        <w:t>r</w:t>
      </w:r>
      <w:r>
        <w:t xml:space="preserve">efer to </w:t>
      </w:r>
      <w:hyperlink w:history="1" w:anchor="_What_the_changes">
        <w:r w:rsidRPr="00590DF2" w:rsidR="00590DF2">
          <w:rPr>
            <w:rStyle w:val="Hyperlink"/>
          </w:rPr>
          <w:t>What the changes mean for providers</w:t>
        </w:r>
      </w:hyperlink>
      <w:r w:rsidR="00590DF2">
        <w:t xml:space="preserve"> and </w:t>
      </w:r>
      <w:hyperlink w:history="1" w:anchor="_Appendix_2:_Key_1">
        <w:r w:rsidRPr="00590DF2" w:rsidR="00590DF2">
          <w:rPr>
            <w:rStyle w:val="Hyperlink"/>
          </w:rPr>
          <w:t>Appendix 2: Key actions for SDA providers from 1 July 2024</w:t>
        </w:r>
      </w:hyperlink>
      <w:r w:rsidR="00B148B4">
        <w:t>)</w:t>
      </w:r>
      <w:r w:rsidR="00D7338A">
        <w:t>.</w:t>
      </w:r>
    </w:p>
    <w:p w:rsidRPr="00EC014E" w:rsidR="006F529F" w:rsidP="00EC014E" w:rsidRDefault="00B805DC" w14:paraId="682D2102" w14:textId="77777777">
      <w:pPr>
        <w:pStyle w:val="Body"/>
      </w:pPr>
      <w:r w:rsidRPr="00EC014E">
        <w:t xml:space="preserve">Failure to comply with </w:t>
      </w:r>
      <w:r w:rsidRPr="00EC014E" w:rsidR="00F6111B">
        <w:t xml:space="preserve">these </w:t>
      </w:r>
      <w:r w:rsidRPr="00EC014E" w:rsidR="00B148B4">
        <w:t xml:space="preserve">obligations </w:t>
      </w:r>
      <w:r w:rsidRPr="00EC014E" w:rsidR="006F529F">
        <w:t>may be</w:t>
      </w:r>
      <w:r w:rsidRPr="00EC014E" w:rsidR="00F6111B">
        <w:t xml:space="preserve"> </w:t>
      </w:r>
      <w:r w:rsidRPr="00EC014E" w:rsidR="00B148B4">
        <w:t xml:space="preserve">an offence and </w:t>
      </w:r>
      <w:r w:rsidRPr="00EC014E" w:rsidR="00F6111B">
        <w:t>attract</w:t>
      </w:r>
      <w:r w:rsidRPr="00EC014E" w:rsidR="00B148B4">
        <w:t xml:space="preserve"> </w:t>
      </w:r>
      <w:r w:rsidRPr="00EC014E" w:rsidR="00F6111B">
        <w:t xml:space="preserve">significant </w:t>
      </w:r>
      <w:r w:rsidRPr="00EC014E" w:rsidR="00B148B4">
        <w:t>penalties.</w:t>
      </w:r>
    </w:p>
    <w:p w:rsidRPr="00EC014E" w:rsidR="00EC014E" w:rsidP="00EC014E" w:rsidRDefault="0082100D" w14:paraId="1B15E826" w14:textId="247B396E">
      <w:pPr>
        <w:pStyle w:val="Body"/>
      </w:pPr>
      <w:r>
        <w:t xml:space="preserve">Under </w:t>
      </w:r>
      <w:r w:rsidR="1A885F0C">
        <w:t>the Residential Tenancies Act</w:t>
      </w:r>
      <w:r>
        <w:t xml:space="preserve">, </w:t>
      </w:r>
      <w:r w:rsidR="3E75B2A3">
        <w:t>it</w:t>
      </w:r>
      <w:r w:rsidRPr="00EC014E" w:rsidR="009B1DF0">
        <w:t xml:space="preserve"> is an offence</w:t>
      </w:r>
      <w:r>
        <w:t>, among other things,</w:t>
      </w:r>
      <w:r w:rsidRPr="00EC014E" w:rsidR="009B1DF0">
        <w:t xml:space="preserve"> </w:t>
      </w:r>
      <w:r w:rsidRPr="00EC014E" w:rsidR="009B269D">
        <w:t>for an SDA provider to</w:t>
      </w:r>
      <w:r w:rsidRPr="00EC014E" w:rsidR="00EC014E">
        <w:t>:</w:t>
      </w:r>
    </w:p>
    <w:p w:rsidRPr="00EC014E" w:rsidR="00EC014E" w:rsidP="00EC014E" w:rsidRDefault="009B269D" w14:paraId="4F221EB2" w14:textId="77777777">
      <w:pPr>
        <w:pStyle w:val="Bullet1"/>
      </w:pPr>
      <w:r w:rsidRPr="00EC014E">
        <w:t>prepare an SDA residency agreement or residential rental agreement that is not in the standard form</w:t>
      </w:r>
    </w:p>
    <w:p w:rsidRPr="00EC014E" w:rsidR="00EC014E" w:rsidP="00EC014E" w:rsidRDefault="009B269D" w14:paraId="23241553" w14:textId="77777777">
      <w:pPr>
        <w:pStyle w:val="Bullet1"/>
      </w:pPr>
      <w:r w:rsidRPr="00EC014E">
        <w:t>misrepresent how the Residential Tenancies Act applies to an SDA resident</w:t>
      </w:r>
    </w:p>
    <w:p w:rsidRPr="00EC014E" w:rsidR="00EC014E" w:rsidP="00EC014E" w:rsidRDefault="009B269D" w14:paraId="71C6B41B" w14:textId="6EE6B113">
      <w:pPr>
        <w:pStyle w:val="Bullet1"/>
      </w:pPr>
      <w:r w:rsidRPr="00EC014E">
        <w:t>misrepresent any of the terms of an agreement</w:t>
      </w:r>
    </w:p>
    <w:p w:rsidRPr="00EC014E" w:rsidR="00EC014E" w:rsidP="00EC014E" w:rsidRDefault="00EC014E" w14:paraId="21109446" w14:textId="77777777">
      <w:pPr>
        <w:pStyle w:val="Bullet1"/>
      </w:pPr>
      <w:r w:rsidRPr="00EC014E">
        <w:t>misrepresent a resident’s</w:t>
      </w:r>
      <w:r w:rsidRPr="00EC014E" w:rsidR="009B269D">
        <w:t xml:space="preserve"> rights and duties under </w:t>
      </w:r>
      <w:r w:rsidRPr="00EC014E">
        <w:t>an agreement</w:t>
      </w:r>
    </w:p>
    <w:p w:rsidR="00556DF6" w:rsidP="00EC014E" w:rsidRDefault="00EC014E" w14:paraId="60301D7D" w14:textId="7253CE8D">
      <w:pPr>
        <w:pStyle w:val="Bullet1"/>
      </w:pPr>
      <w:r w:rsidRPr="00EC014E">
        <w:t xml:space="preserve">threaten, intimidate or persuade a person </w:t>
      </w:r>
      <w:r w:rsidRPr="00EC014E" w:rsidR="009B269D">
        <w:t xml:space="preserve">not to exercise </w:t>
      </w:r>
      <w:r w:rsidRPr="00EC014E">
        <w:t>their</w:t>
      </w:r>
      <w:r w:rsidRPr="00EC014E" w:rsidR="009B269D">
        <w:t xml:space="preserve"> right</w:t>
      </w:r>
      <w:r w:rsidRPr="00EC014E">
        <w:t>s.</w:t>
      </w:r>
      <w:r w:rsidDel="00EC014E" w:rsidR="00556DF6">
        <w:br w:type="page"/>
      </w:r>
    </w:p>
    <w:p w:rsidRPr="00C05B9A" w:rsidR="0082100D" w:rsidP="00C05B9A" w:rsidRDefault="0082100D" w14:paraId="0D474AE6" w14:textId="37E84FDD">
      <w:pPr>
        <w:pStyle w:val="Body"/>
      </w:pPr>
      <w:r w:rsidRPr="00C05B9A">
        <w:t xml:space="preserve">These offences will continue to apply from 1 July 2024. </w:t>
      </w:r>
    </w:p>
    <w:p w:rsidRPr="00C05B9A" w:rsidR="00775793" w:rsidP="00104E46" w:rsidRDefault="0082100D" w14:paraId="3ECA749C" w14:textId="61CC3149">
      <w:pPr>
        <w:pStyle w:val="Body"/>
      </w:pPr>
      <w:r w:rsidRPr="00C05B9A">
        <w:t xml:space="preserve">All SDA providers, including disability accommodation </w:t>
      </w:r>
      <w:r w:rsidR="007D424E">
        <w:t xml:space="preserve">and support </w:t>
      </w:r>
      <w:r w:rsidRPr="00C05B9A">
        <w:t xml:space="preserve">providers that will become SDA providers from 1 July 2024, must comply with all relevant obligations under the Residential Tenancies Act. </w:t>
      </w:r>
    </w:p>
    <w:p w:rsidR="00982ACA" w:rsidP="00104E46" w:rsidRDefault="00982ACA" w14:paraId="762168C5" w14:textId="2E137111">
      <w:pPr>
        <w:pStyle w:val="Bullet1"/>
        <w:numPr>
          <w:ilvl w:val="0"/>
          <w:numId w:val="0"/>
        </w:numPr>
      </w:pPr>
      <w:r>
        <w:t xml:space="preserve">For more information about the rights and obligations of SDA providers and SDA residents, visit the </w:t>
      </w:r>
      <w:hyperlink w:history="1" r:id="rId20">
        <w:r w:rsidRPr="002B7713">
          <w:rPr>
            <w:rStyle w:val="Hyperlink"/>
          </w:rPr>
          <w:t>Consumer Affairs Victoria website</w:t>
        </w:r>
      </w:hyperlink>
      <w:r>
        <w:t>.</w:t>
      </w:r>
      <w:r>
        <w:rPr>
          <w:rStyle w:val="FootnoteReference"/>
        </w:rPr>
        <w:footnoteReference w:id="9"/>
      </w:r>
    </w:p>
    <w:p w:rsidR="00EC014E" w:rsidP="00104E46" w:rsidRDefault="00EC014E" w14:paraId="3B8024E4" w14:textId="577D1F2A">
      <w:pPr>
        <w:pStyle w:val="Body"/>
      </w:pPr>
      <w:r>
        <w:t>An SDA provider is unsure of their rights and responsibilities under the Residential Tenancies Act should seek independent legal advice.</w:t>
      </w:r>
    </w:p>
    <w:p w:rsidRPr="00894A96" w:rsidR="007B6C12" w:rsidP="00AB7AF4" w:rsidRDefault="00023276" w14:paraId="6F15BC5B" w14:textId="35B805E9">
      <w:pPr>
        <w:pStyle w:val="Heading1"/>
        <w:numPr>
          <w:ilvl w:val="0"/>
          <w:numId w:val="0"/>
        </w:numPr>
        <w:ind w:left="567" w:hanging="567"/>
      </w:pPr>
      <w:bookmarkStart w:name="_Appendix_1:_More" w:id="54"/>
      <w:bookmarkStart w:name="_Ref164851069" w:id="55"/>
      <w:bookmarkStart w:name="_Toc166852416" w:id="56"/>
      <w:bookmarkEnd w:id="54"/>
      <w:r w:rsidRPr="00274874">
        <w:rPr>
          <w:rStyle w:val="Heading1Char"/>
        </w:rPr>
        <w:t xml:space="preserve">Appendix 1: </w:t>
      </w:r>
      <w:r w:rsidR="00AB7AF4">
        <w:rPr>
          <w:rStyle w:val="Heading1Char"/>
        </w:rPr>
        <w:t>M</w:t>
      </w:r>
      <w:r w:rsidRPr="00274874" w:rsidR="00E152FC">
        <w:rPr>
          <w:rStyle w:val="Heading1Char"/>
        </w:rPr>
        <w:t>ore</w:t>
      </w:r>
      <w:r w:rsidRPr="00274874" w:rsidR="008722F3">
        <w:rPr>
          <w:rStyle w:val="Heading1Char"/>
        </w:rPr>
        <w:t xml:space="preserve"> </w:t>
      </w:r>
      <w:r w:rsidRPr="00274874" w:rsidR="007B6C12">
        <w:rPr>
          <w:rStyle w:val="Heading1Char"/>
        </w:rPr>
        <w:t>information</w:t>
      </w:r>
      <w:bookmarkEnd w:id="50"/>
      <w:bookmarkEnd w:id="51"/>
      <w:bookmarkEnd w:id="52"/>
      <w:bookmarkEnd w:id="55"/>
      <w:bookmarkEnd w:id="56"/>
    </w:p>
    <w:p w:rsidR="00023276" w:rsidP="007B6C12" w:rsidRDefault="00680CB1" w14:paraId="7B6F2399" w14:textId="4FA51F54">
      <w:pPr>
        <w:pStyle w:val="Body"/>
      </w:pPr>
      <w:r>
        <w:t>Links to t</w:t>
      </w:r>
      <w:r w:rsidRPr="0001563E">
        <w:t xml:space="preserve">he </w:t>
      </w:r>
      <w:r>
        <w:t xml:space="preserve">Amendment </w:t>
      </w:r>
      <w:r w:rsidRPr="0001563E">
        <w:t xml:space="preserve">Act </w:t>
      </w:r>
      <w:r>
        <w:t xml:space="preserve">and other Acts mentioned in this </w:t>
      </w:r>
      <w:r w:rsidR="005D5FB1">
        <w:t>summary</w:t>
      </w:r>
      <w:r>
        <w:t xml:space="preserve"> are listed in </w:t>
      </w:r>
      <w:r w:rsidRPr="00AD651C">
        <w:rPr>
          <w:b/>
        </w:rPr>
        <w:fldChar w:fldCharType="begin"/>
      </w:r>
      <w:r w:rsidRPr="00AD651C">
        <w:rPr>
          <w:b/>
        </w:rPr>
        <w:instrText xml:space="preserve"> REF _Ref145604113 \h </w:instrText>
      </w:r>
      <w:r>
        <w:rPr>
          <w:b/>
          <w:bCs/>
        </w:rPr>
        <w:instrText xml:space="preserve"> \* MERGEFORMAT </w:instrText>
      </w:r>
      <w:r w:rsidRPr="00AD651C">
        <w:rPr>
          <w:b/>
        </w:rPr>
      </w:r>
      <w:r w:rsidRPr="00AD651C">
        <w:rPr>
          <w:b/>
        </w:rPr>
        <w:fldChar w:fldCharType="separate"/>
      </w:r>
      <w:r w:rsidRPr="00037B9D" w:rsidR="00037B9D">
        <w:rPr>
          <w:b/>
        </w:rPr>
        <w:t>Table 1</w:t>
      </w:r>
      <w:r w:rsidRPr="00AD651C">
        <w:rPr>
          <w:b/>
        </w:rPr>
        <w:fldChar w:fldCharType="end"/>
      </w:r>
      <w:r>
        <w:t>.</w:t>
      </w:r>
    </w:p>
    <w:p w:rsidR="00AB7AF4" w:rsidP="007B6C12" w:rsidRDefault="00AB7AF4" w14:paraId="36EE13EC" w14:textId="74478A64">
      <w:pPr>
        <w:pStyle w:val="Body"/>
      </w:pPr>
      <w:r>
        <w:t xml:space="preserve">A list of terms used in this document is provided at </w:t>
      </w:r>
      <w:r w:rsidRPr="00AB7AF4">
        <w:rPr>
          <w:b/>
          <w:bCs/>
        </w:rPr>
        <w:fldChar w:fldCharType="begin"/>
      </w:r>
      <w:r w:rsidRPr="00AB7AF4">
        <w:rPr>
          <w:b/>
          <w:bCs/>
        </w:rPr>
        <w:instrText xml:space="preserve"> REF _Ref164850940 \h </w:instrText>
      </w:r>
      <w:r>
        <w:rPr>
          <w:b/>
          <w:bCs/>
        </w:rPr>
        <w:instrText xml:space="preserve"> \* MERGEFORMAT </w:instrText>
      </w:r>
      <w:r w:rsidRPr="00AB7AF4">
        <w:rPr>
          <w:b/>
          <w:bCs/>
        </w:rPr>
      </w:r>
      <w:r w:rsidRPr="00AB7AF4">
        <w:rPr>
          <w:b/>
          <w:bCs/>
        </w:rPr>
        <w:fldChar w:fldCharType="separate"/>
      </w:r>
      <w:r w:rsidRPr="00037B9D" w:rsidR="00037B9D">
        <w:rPr>
          <w:b/>
          <w:bCs/>
        </w:rPr>
        <w:t xml:space="preserve">Table </w:t>
      </w:r>
      <w:r w:rsidRPr="00037B9D" w:rsidR="00037B9D">
        <w:rPr>
          <w:b/>
          <w:bCs/>
          <w:noProof/>
        </w:rPr>
        <w:t>2</w:t>
      </w:r>
      <w:r w:rsidRPr="00AB7AF4">
        <w:rPr>
          <w:b/>
          <w:bCs/>
        </w:rPr>
        <w:fldChar w:fldCharType="end"/>
      </w:r>
      <w:r>
        <w:t>.</w:t>
      </w:r>
    </w:p>
    <w:p w:rsidR="00AB7AF4" w:rsidP="007B6C12" w:rsidRDefault="5B5D51BC" w14:paraId="72BB24EE" w14:textId="04DA75B0">
      <w:pPr>
        <w:pStyle w:val="Body"/>
      </w:pPr>
      <w:r>
        <w:t>For more information about the changes to the Residential Tenancies Act, incl</w:t>
      </w:r>
      <w:r w:rsidR="7F370DC8">
        <w:t xml:space="preserve">uding Easy Read information, visit </w:t>
      </w:r>
      <w:r w:rsidRPr="210AAED0" w:rsidR="7F370DC8">
        <w:t xml:space="preserve">the Department of Families, Fairness and Housing </w:t>
      </w:r>
      <w:hyperlink r:id="rId21">
        <w:r w:rsidRPr="210AAED0" w:rsidR="7F370DC8">
          <w:rPr>
            <w:rStyle w:val="Hyperlink"/>
          </w:rPr>
          <w:t>Changes to the Residential Tenancies Act 1997 webpage</w:t>
        </w:r>
      </w:hyperlink>
      <w:r w:rsidR="00365A32">
        <w:rPr>
          <w:rStyle w:val="Hyperlink"/>
        </w:rPr>
        <w:t>.</w:t>
      </w:r>
      <w:r w:rsidRPr="00B4789E" w:rsidR="006C749C">
        <w:rPr>
          <w:rStyle w:val="FootnoteReference"/>
        </w:rPr>
        <w:footnoteReference w:id="10"/>
      </w:r>
      <w:r w:rsidRPr="00B4789E" w:rsidR="7F370DC8">
        <w:t xml:space="preserve">  </w:t>
      </w:r>
    </w:p>
    <w:p w:rsidR="00023276" w:rsidP="007B6C12" w:rsidRDefault="00023276" w14:paraId="0C630626" w14:textId="238D4696">
      <w:pPr>
        <w:pStyle w:val="Body"/>
      </w:pPr>
      <w:r>
        <w:t xml:space="preserve">For more information about the rights and obligations of SDA providers and SDA residents, visit </w:t>
      </w:r>
      <w:r w:rsidR="00D40519">
        <w:t>t</w:t>
      </w:r>
      <w:r>
        <w:t xml:space="preserve">he </w:t>
      </w:r>
      <w:hyperlink w:history="1" r:id="rId22">
        <w:r w:rsidRPr="002B7713" w:rsidR="00EA4662">
          <w:rPr>
            <w:rStyle w:val="Hyperlink"/>
          </w:rPr>
          <w:t>Consumer Affairs Victoria website</w:t>
        </w:r>
      </w:hyperlink>
      <w:r w:rsidR="00EA4662">
        <w:t>.</w:t>
      </w:r>
      <w:r w:rsidR="00EA4662">
        <w:rPr>
          <w:rStyle w:val="FootnoteReference"/>
        </w:rPr>
        <w:footnoteReference w:id="11"/>
      </w:r>
    </w:p>
    <w:p w:rsidR="007B6C12" w:rsidP="007B6C12" w:rsidRDefault="007B6C12" w14:paraId="47549638" w14:textId="61A4D035">
      <w:pPr>
        <w:pStyle w:val="Body"/>
      </w:pPr>
      <w:r>
        <w:t>For</w:t>
      </w:r>
      <w:r w:rsidR="00536D61">
        <w:t xml:space="preserve"> more</w:t>
      </w:r>
      <w:r>
        <w:t xml:space="preserve"> </w:t>
      </w:r>
      <w:r w:rsidRPr="002A13AC">
        <w:t xml:space="preserve">information </w:t>
      </w:r>
      <w:r>
        <w:t>about</w:t>
      </w:r>
      <w:r w:rsidRPr="002A13AC">
        <w:t xml:space="preserve"> </w:t>
      </w:r>
      <w:r w:rsidR="00E045CB">
        <w:t xml:space="preserve">the </w:t>
      </w:r>
      <w:r>
        <w:t>Victoria</w:t>
      </w:r>
      <w:r w:rsidR="00E045CB">
        <w:t>n</w:t>
      </w:r>
      <w:r>
        <w:t xml:space="preserve"> </w:t>
      </w:r>
      <w:r w:rsidR="00F44E8C">
        <w:t>community visitor</w:t>
      </w:r>
      <w:r w:rsidR="005721D7">
        <w:t>s</w:t>
      </w:r>
      <w:r>
        <w:t xml:space="preserve"> program, visit the </w:t>
      </w:r>
      <w:hyperlink w:history="1" r:id="rId23">
        <w:r w:rsidRPr="000F0EFD">
          <w:rPr>
            <w:rStyle w:val="Hyperlink"/>
          </w:rPr>
          <w:t>Office of the Public Advocate</w:t>
        </w:r>
        <w:r>
          <w:rPr>
            <w:rStyle w:val="Hyperlink"/>
          </w:rPr>
          <w:t>’s</w:t>
        </w:r>
        <w:r w:rsidRPr="0048022B">
          <w:rPr>
            <w:rStyle w:val="Hyperlink"/>
          </w:rPr>
          <w:t xml:space="preserve"> </w:t>
        </w:r>
        <w:r w:rsidRPr="0048022B" w:rsidR="0009714D">
          <w:rPr>
            <w:rStyle w:val="Hyperlink"/>
          </w:rPr>
          <w:t>Community Visitors</w:t>
        </w:r>
        <w:r w:rsidRPr="0048022B">
          <w:rPr>
            <w:rStyle w:val="Hyperlink"/>
          </w:rPr>
          <w:t xml:space="preserve"> </w:t>
        </w:r>
        <w:r w:rsidRPr="000F0EFD">
          <w:rPr>
            <w:rStyle w:val="Hyperlink"/>
          </w:rPr>
          <w:t>web</w:t>
        </w:r>
        <w:r w:rsidR="0009714D">
          <w:rPr>
            <w:rStyle w:val="Hyperlink"/>
          </w:rPr>
          <w:t>page</w:t>
        </w:r>
      </w:hyperlink>
      <w:r>
        <w:t>.</w:t>
      </w:r>
      <w:r w:rsidR="00D40519">
        <w:rPr>
          <w:rStyle w:val="FootnoteReference"/>
        </w:rPr>
        <w:footnoteReference w:id="12"/>
      </w:r>
    </w:p>
    <w:p w:rsidRPr="003D2267" w:rsidR="000909E0" w:rsidP="003D2267" w:rsidRDefault="0089023F" w14:paraId="3D68187F" w14:textId="7833F063">
      <w:pPr>
        <w:pStyle w:val="Body"/>
        <w:rPr>
          <w:highlight w:val="yellow"/>
        </w:rPr>
      </w:pPr>
      <w:bookmarkStart w:name="_Toc147315410" w:id="57"/>
      <w:bookmarkStart w:name="_Toc151042671" w:id="58"/>
      <w:r w:rsidR="0089023F">
        <w:rPr/>
        <w:t>A</w:t>
      </w:r>
      <w:r w:rsidDel="00DE2A03" w:rsidR="0089023F">
        <w:rPr/>
        <w:t xml:space="preserve"> </w:t>
      </w:r>
      <w:r w:rsidR="0089023F">
        <w:rPr/>
        <w:t xml:space="preserve">factsheet and other summaries about the changes made by the Amendment Act are available on the Department of Families, Fairness and Housing </w:t>
      </w:r>
      <w:hyperlink w:history="1" r:id="Rf39f32b2defc45c5">
        <w:r w:rsidRPr="78CD7686" w:rsidR="0089023F">
          <w:rPr>
            <w:rStyle w:val="Hyperlink"/>
            <w:i w:val="0"/>
            <w:iCs w:val="0"/>
          </w:rPr>
          <w:t>Disability and Social Services Regulation Amendment Act 2023</w:t>
        </w:r>
        <w:r w:rsidRPr="78CD7686" w:rsidR="0089023F">
          <w:rPr>
            <w:rStyle w:val="Hyperlink"/>
            <w:i w:val="0"/>
            <w:iCs w:val="0"/>
          </w:rPr>
          <w:t xml:space="preserve"> web</w:t>
        </w:r>
        <w:r w:rsidRPr="78CD7686" w:rsidR="0009714D">
          <w:rPr>
            <w:rStyle w:val="Hyperlink"/>
            <w:i w:val="0"/>
            <w:iCs w:val="0"/>
          </w:rPr>
          <w:t>page</w:t>
        </w:r>
      </w:hyperlink>
      <w:r w:rsidRPr="78CD7686" w:rsidR="0089023F">
        <w:rPr>
          <w:i w:val="0"/>
          <w:iCs w:val="0"/>
        </w:rPr>
        <w:t>.</w:t>
      </w:r>
      <w:r w:rsidRPr="78CD7686">
        <w:rPr>
          <w:rStyle w:val="FootnoteReference"/>
          <w:i w:val="0"/>
          <w:iCs w:val="0"/>
        </w:rPr>
        <w:footnoteReference w:id="13"/>
      </w:r>
    </w:p>
    <w:p w:rsidRPr="00AD651C" w:rsidR="000110F1" w:rsidP="003F5FCD" w:rsidRDefault="000110F1" w14:paraId="1A512C7E" w14:textId="08A858EC">
      <w:pPr>
        <w:pStyle w:val="Heading2"/>
      </w:pPr>
      <w:bookmarkStart w:name="_Toc166852417" w:id="59"/>
      <w:r w:rsidRPr="00AD651C">
        <w:t>Acts</w:t>
      </w:r>
      <w:bookmarkEnd w:id="57"/>
      <w:bookmarkEnd w:id="58"/>
      <w:bookmarkEnd w:id="59"/>
    </w:p>
    <w:p w:rsidR="000110F1" w:rsidP="000110F1" w:rsidRDefault="000110F1" w14:paraId="37249658" w14:textId="2B19E42A">
      <w:pPr>
        <w:pStyle w:val="Tablecaption"/>
      </w:pPr>
      <w:bookmarkStart w:name="_Ref145604113" w:id="60"/>
      <w:r>
        <w:t xml:space="preserve">Table </w:t>
      </w:r>
      <w:r>
        <w:fldChar w:fldCharType="begin"/>
      </w:r>
      <w:r>
        <w:instrText>SEQ Table \* ARABIC</w:instrText>
      </w:r>
      <w:r>
        <w:fldChar w:fldCharType="separate"/>
      </w:r>
      <w:r w:rsidR="00037B9D">
        <w:rPr>
          <w:noProof/>
        </w:rPr>
        <w:t>1</w:t>
      </w:r>
      <w:r>
        <w:fldChar w:fldCharType="end"/>
      </w:r>
      <w:bookmarkEnd w:id="60"/>
      <w:r>
        <w:t xml:space="preserve">. Links to </w:t>
      </w:r>
      <w:r w:rsidR="00374E5B">
        <w:t xml:space="preserve">relevant </w:t>
      </w:r>
      <w:r>
        <w:t>Acts</w:t>
      </w:r>
    </w:p>
    <w:tbl>
      <w:tblPr>
        <w:tblStyle w:val="TableGrid"/>
        <w:tblW w:w="5000" w:type="pct"/>
        <w:tblLook w:val="0620" w:firstRow="1" w:lastRow="0" w:firstColumn="0" w:lastColumn="0" w:noHBand="1" w:noVBand="1"/>
      </w:tblPr>
      <w:tblGrid>
        <w:gridCol w:w="2905"/>
        <w:gridCol w:w="7551"/>
      </w:tblGrid>
      <w:tr w:rsidRPr="00742F28" w:rsidR="000110F1" w14:paraId="13635FA4" w14:textId="77777777">
        <w:tc>
          <w:tcPr>
            <w:tcW w:w="1389" w:type="pct"/>
          </w:tcPr>
          <w:p w:rsidRPr="00AD651C" w:rsidR="000110F1" w:rsidRDefault="000110F1" w14:paraId="11A88D21" w14:textId="7DD1AF5B">
            <w:pPr>
              <w:pStyle w:val="Tablecolhead"/>
            </w:pPr>
            <w:r w:rsidRPr="00AD651C">
              <w:t>Act</w:t>
            </w:r>
          </w:p>
        </w:tc>
        <w:tc>
          <w:tcPr>
            <w:tcW w:w="3611" w:type="pct"/>
          </w:tcPr>
          <w:p w:rsidRPr="00AD651C" w:rsidR="000110F1" w:rsidRDefault="000110F1" w14:paraId="0A3AF8B1" w14:textId="77777777">
            <w:pPr>
              <w:pStyle w:val="Tablecolhead"/>
            </w:pPr>
            <w:r w:rsidRPr="00AD651C">
              <w:t>Where to find it</w:t>
            </w:r>
          </w:p>
        </w:tc>
      </w:tr>
      <w:tr w:rsidRPr="00AF10E3" w:rsidR="000110F1" w14:paraId="6C2C41FF" w14:textId="77777777">
        <w:tc>
          <w:tcPr>
            <w:tcW w:w="1389" w:type="pct"/>
          </w:tcPr>
          <w:p w:rsidRPr="008F3D80" w:rsidR="000110F1" w:rsidRDefault="00CA4E5B" w14:paraId="6658D90A" w14:textId="6E996659">
            <w:pPr>
              <w:pStyle w:val="Tabletext"/>
              <w:rPr>
                <w:b/>
                <w:bCs/>
                <w:i/>
                <w:iCs/>
                <w:highlight w:val="yellow"/>
              </w:rPr>
            </w:pPr>
            <w:r w:rsidRPr="008F3D80">
              <w:rPr>
                <w:b/>
                <w:bCs/>
                <w:i/>
                <w:iCs/>
              </w:rPr>
              <w:t>Disability and Social Services Regulation Amendment Act 2023</w:t>
            </w:r>
            <w:r w:rsidR="00A23C33">
              <w:rPr>
                <w:b/>
                <w:bCs/>
                <w:i/>
                <w:iCs/>
              </w:rPr>
              <w:t xml:space="preserve"> </w:t>
            </w:r>
            <w:r w:rsidR="00A23C33">
              <w:rPr>
                <w:b/>
                <w:bCs/>
              </w:rPr>
              <w:t>(Vic)</w:t>
            </w:r>
            <w:r w:rsidR="00DC2327">
              <w:rPr>
                <w:b/>
                <w:bCs/>
                <w:i/>
                <w:iCs/>
              </w:rPr>
              <w:t xml:space="preserve"> </w:t>
            </w:r>
            <w:r w:rsidRPr="00DC2327" w:rsidR="00DC2327">
              <w:rPr>
                <w:b/>
                <w:bCs/>
              </w:rPr>
              <w:t>(Amendment Act)</w:t>
            </w:r>
          </w:p>
        </w:tc>
        <w:tc>
          <w:tcPr>
            <w:tcW w:w="3611" w:type="pct"/>
          </w:tcPr>
          <w:p w:rsidRPr="00AF10E3" w:rsidR="000110F1" w:rsidRDefault="00EE2141" w14:paraId="798B32E4" w14:textId="3114D248">
            <w:pPr>
              <w:pStyle w:val="Tabletext"/>
              <w:rPr>
                <w:highlight w:val="yellow"/>
              </w:rPr>
            </w:pPr>
            <w:hyperlink w:history="1" r:id="rId25">
              <w:r w:rsidRPr="00AF10E3" w:rsidR="000110F1">
                <w:rPr>
                  <w:rStyle w:val="Hyperlink"/>
                </w:rPr>
                <w:t xml:space="preserve">Victorian Legislation </w:t>
              </w:r>
              <w:r w:rsidRPr="00AD651C" w:rsidR="000110F1">
                <w:rPr>
                  <w:rStyle w:val="Hyperlink"/>
                  <w:i/>
                </w:rPr>
                <w:t xml:space="preserve">Disability and Social Services Regulation </w:t>
              </w:r>
              <w:r w:rsidR="00F04825">
                <w:rPr>
                  <w:rStyle w:val="Hyperlink"/>
                  <w:i/>
                </w:rPr>
                <w:t xml:space="preserve">Amendment </w:t>
              </w:r>
              <w:r w:rsidRPr="00AD651C" w:rsidR="000110F1">
                <w:rPr>
                  <w:rStyle w:val="Hyperlink"/>
                  <w:i/>
                </w:rPr>
                <w:t>Act 2023</w:t>
              </w:r>
              <w:r w:rsidRPr="00AF10E3" w:rsidR="000110F1">
                <w:rPr>
                  <w:rStyle w:val="Hyperlink"/>
                </w:rPr>
                <w:t xml:space="preserve"> </w:t>
              </w:r>
              <w:r w:rsidR="002958E9">
                <w:rPr>
                  <w:rStyle w:val="Hyperlink"/>
                </w:rPr>
                <w:t>web</w:t>
              </w:r>
              <w:r w:rsidR="0009714D">
                <w:rPr>
                  <w:rStyle w:val="Hyperlink"/>
                </w:rPr>
                <w:t>page</w:t>
              </w:r>
            </w:hyperlink>
            <w:r w:rsidR="000110F1">
              <w:rPr>
                <w:rStyle w:val="FootnoteReference"/>
              </w:rPr>
              <w:footnoteReference w:id="14"/>
            </w:r>
          </w:p>
        </w:tc>
      </w:tr>
      <w:tr w:rsidRPr="00AF10E3" w:rsidR="000110F1" w14:paraId="02229947" w14:textId="77777777">
        <w:tc>
          <w:tcPr>
            <w:tcW w:w="1389" w:type="pct"/>
          </w:tcPr>
          <w:p w:rsidRPr="008F3D80" w:rsidR="000110F1" w:rsidRDefault="000110F1" w14:paraId="09BBDC79" w14:textId="3145FDD7">
            <w:pPr>
              <w:pStyle w:val="Tabletext"/>
              <w:rPr>
                <w:b/>
                <w:bCs/>
                <w:i/>
                <w:iCs/>
                <w:highlight w:val="yellow"/>
              </w:rPr>
            </w:pPr>
            <w:r w:rsidRPr="008F3D80">
              <w:rPr>
                <w:b/>
                <w:bCs/>
                <w:i/>
                <w:iCs/>
              </w:rPr>
              <w:t>Disability Act</w:t>
            </w:r>
            <w:r w:rsidRPr="008F3D80" w:rsidR="00D51132">
              <w:rPr>
                <w:b/>
                <w:bCs/>
                <w:i/>
                <w:iCs/>
              </w:rPr>
              <w:t xml:space="preserve"> 2006</w:t>
            </w:r>
            <w:r w:rsidR="00DC2327">
              <w:rPr>
                <w:b/>
                <w:bCs/>
                <w:i/>
                <w:iCs/>
              </w:rPr>
              <w:t xml:space="preserve"> </w:t>
            </w:r>
            <w:r w:rsidR="00A23C33">
              <w:rPr>
                <w:b/>
                <w:bCs/>
              </w:rPr>
              <w:t xml:space="preserve">(Vic) </w:t>
            </w:r>
            <w:r w:rsidRPr="00DC2327" w:rsidR="00DC2327">
              <w:rPr>
                <w:b/>
                <w:bCs/>
              </w:rPr>
              <w:t>(Disability Act)</w:t>
            </w:r>
          </w:p>
        </w:tc>
        <w:tc>
          <w:tcPr>
            <w:tcW w:w="3611" w:type="pct"/>
          </w:tcPr>
          <w:p w:rsidRPr="00AD651C" w:rsidR="000110F1" w:rsidRDefault="00EE2141" w14:paraId="0705BCA4" w14:textId="3F03DD58">
            <w:pPr>
              <w:pStyle w:val="Tabletext"/>
            </w:pPr>
            <w:hyperlink w:history="1" r:id="rId26">
              <w:r w:rsidRPr="00AD651C" w:rsidR="000110F1">
                <w:rPr>
                  <w:rStyle w:val="Hyperlink"/>
                </w:rPr>
                <w:t>Vic</w:t>
              </w:r>
              <w:bookmarkStart w:name="_Hlk164759231" w:id="61"/>
              <w:r w:rsidRPr="00AD651C" w:rsidR="000110F1">
                <w:rPr>
                  <w:rStyle w:val="Hyperlink"/>
                </w:rPr>
                <w:t xml:space="preserve">torian Legislation </w:t>
              </w:r>
              <w:r w:rsidRPr="00AD651C" w:rsidR="000110F1">
                <w:rPr>
                  <w:rStyle w:val="Hyperlink"/>
                  <w:i/>
                </w:rPr>
                <w:t>Disab</w:t>
              </w:r>
              <w:bookmarkEnd w:id="61"/>
              <w:r w:rsidRPr="00AD651C" w:rsidR="000110F1">
                <w:rPr>
                  <w:rStyle w:val="Hyperlink"/>
                  <w:i/>
                </w:rPr>
                <w:t>ility Act 2006</w:t>
              </w:r>
              <w:r w:rsidRPr="002958E9" w:rsidR="002958E9">
                <w:rPr>
                  <w:rStyle w:val="Hyperlink"/>
                  <w:iCs/>
                </w:rPr>
                <w:t xml:space="preserve"> web</w:t>
              </w:r>
              <w:r w:rsidR="0009714D">
                <w:rPr>
                  <w:rStyle w:val="Hyperlink"/>
                  <w:iCs/>
                </w:rPr>
                <w:t>page</w:t>
              </w:r>
            </w:hyperlink>
            <w:r w:rsidR="000110F1">
              <w:rPr>
                <w:rStyle w:val="FootnoteReference"/>
              </w:rPr>
              <w:footnoteReference w:id="15"/>
            </w:r>
          </w:p>
        </w:tc>
      </w:tr>
      <w:tr w:rsidRPr="00AF10E3" w:rsidR="00D31BBE" w14:paraId="5224C48A" w14:textId="77777777">
        <w:tc>
          <w:tcPr>
            <w:tcW w:w="1389" w:type="pct"/>
          </w:tcPr>
          <w:p w:rsidRPr="008F3D80" w:rsidR="00D31BBE" w:rsidP="002F6581" w:rsidRDefault="00D31BBE" w14:paraId="78E2DEC5" w14:textId="54A16FDA">
            <w:pPr>
              <w:pStyle w:val="Tabletext"/>
              <w:rPr>
                <w:b/>
                <w:bCs/>
                <w:i/>
                <w:iCs/>
              </w:rPr>
            </w:pPr>
            <w:r w:rsidRPr="00D31BBE">
              <w:rPr>
                <w:b/>
                <w:bCs/>
                <w:i/>
                <w:iCs/>
              </w:rPr>
              <w:t xml:space="preserve">National Disability Insurance Scheme Act 2013 </w:t>
            </w:r>
            <w:r w:rsidRPr="00A23C33">
              <w:rPr>
                <w:b/>
                <w:bCs/>
              </w:rPr>
              <w:t>(Cth</w:t>
            </w:r>
            <w:r w:rsidRPr="00D31BBE">
              <w:rPr>
                <w:b/>
                <w:bCs/>
                <w:i/>
                <w:iCs/>
              </w:rPr>
              <w:t xml:space="preserve">) </w:t>
            </w:r>
            <w:r w:rsidRPr="00D31BBE">
              <w:rPr>
                <w:b/>
                <w:bCs/>
              </w:rPr>
              <w:t>(NDIS Act)</w:t>
            </w:r>
          </w:p>
        </w:tc>
        <w:tc>
          <w:tcPr>
            <w:tcW w:w="3611" w:type="pct"/>
          </w:tcPr>
          <w:p w:rsidR="00D31BBE" w:rsidP="002F6581" w:rsidRDefault="00EE2141" w14:paraId="32892387" w14:textId="0DC49222">
            <w:pPr>
              <w:pStyle w:val="Tabletext"/>
            </w:pPr>
            <w:hyperlink w:history="1" r:id="rId27">
              <w:r w:rsidRPr="00C35993" w:rsidR="002958E9">
                <w:rPr>
                  <w:rStyle w:val="Hyperlink"/>
                </w:rPr>
                <w:t xml:space="preserve">Federal Register of Legislation </w:t>
              </w:r>
              <w:r w:rsidRPr="3013A0E0" w:rsidR="002958E9">
                <w:rPr>
                  <w:rStyle w:val="Hyperlink"/>
                  <w:i/>
                </w:rPr>
                <w:t xml:space="preserve">National Disability Insurance </w:t>
              </w:r>
              <w:r w:rsidR="00BE3142">
                <w:rPr>
                  <w:rStyle w:val="Hyperlink"/>
                  <w:i/>
                  <w:iCs/>
                </w:rPr>
                <w:t xml:space="preserve">Scheme </w:t>
              </w:r>
              <w:r w:rsidRPr="3013A0E0" w:rsidR="002958E9">
                <w:rPr>
                  <w:rStyle w:val="Hyperlink"/>
                  <w:i/>
                </w:rPr>
                <w:t>Act 2013</w:t>
              </w:r>
              <w:r w:rsidRPr="00C35993" w:rsidR="002958E9">
                <w:rPr>
                  <w:rStyle w:val="Hyperlink"/>
                </w:rPr>
                <w:t xml:space="preserve"> web</w:t>
              </w:r>
              <w:r w:rsidR="0009714D">
                <w:rPr>
                  <w:rStyle w:val="Hyperlink"/>
                </w:rPr>
                <w:t>page</w:t>
              </w:r>
            </w:hyperlink>
            <w:r w:rsidR="00C35993">
              <w:rPr>
                <w:rStyle w:val="FootnoteReference"/>
              </w:rPr>
              <w:footnoteReference w:id="16"/>
            </w:r>
          </w:p>
        </w:tc>
      </w:tr>
      <w:tr w:rsidRPr="00AF10E3" w:rsidR="002F6581" w14:paraId="257E7AD8" w14:textId="77777777">
        <w:tc>
          <w:tcPr>
            <w:tcW w:w="1389" w:type="pct"/>
          </w:tcPr>
          <w:p w:rsidRPr="008F3D80" w:rsidR="002F6581" w:rsidP="002F6581" w:rsidRDefault="00D51132" w14:paraId="2D0DB8F6" w14:textId="6A621453">
            <w:pPr>
              <w:pStyle w:val="Tabletext"/>
              <w:rPr>
                <w:b/>
                <w:bCs/>
                <w:i/>
                <w:iCs/>
              </w:rPr>
            </w:pPr>
            <w:r w:rsidRPr="008F3D80">
              <w:rPr>
                <w:b/>
                <w:bCs/>
                <w:i/>
                <w:iCs/>
              </w:rPr>
              <w:t>Residential Tenancies Act 1997</w:t>
            </w:r>
            <w:r w:rsidR="00A23C33">
              <w:rPr>
                <w:b/>
                <w:bCs/>
                <w:i/>
                <w:iCs/>
              </w:rPr>
              <w:t xml:space="preserve"> </w:t>
            </w:r>
            <w:r w:rsidRPr="00A23C33" w:rsidR="00A23C33">
              <w:rPr>
                <w:b/>
                <w:bCs/>
              </w:rPr>
              <w:t>(Vic)</w:t>
            </w:r>
            <w:r w:rsidR="00DC2327">
              <w:rPr>
                <w:b/>
                <w:bCs/>
                <w:i/>
                <w:iCs/>
              </w:rPr>
              <w:t xml:space="preserve"> </w:t>
            </w:r>
            <w:r w:rsidRPr="00DC2327" w:rsidR="00DC2327">
              <w:rPr>
                <w:b/>
                <w:bCs/>
              </w:rPr>
              <w:t>(</w:t>
            </w:r>
            <w:r w:rsidRPr="00374E5B" w:rsidR="00374E5B">
              <w:rPr>
                <w:b/>
                <w:bCs/>
              </w:rPr>
              <w:t>Residential Tenancies Act</w:t>
            </w:r>
            <w:r w:rsidRPr="00DC2327" w:rsidR="00DC2327">
              <w:rPr>
                <w:b/>
                <w:bCs/>
              </w:rPr>
              <w:t>)</w:t>
            </w:r>
          </w:p>
        </w:tc>
        <w:tc>
          <w:tcPr>
            <w:tcW w:w="3611" w:type="pct"/>
          </w:tcPr>
          <w:p w:rsidRPr="004F4FBE" w:rsidR="002F6581" w:rsidP="002F6581" w:rsidRDefault="00EE2141" w14:paraId="027D8C5D" w14:textId="4A29AA6A">
            <w:pPr>
              <w:pStyle w:val="Tabletext"/>
            </w:pPr>
            <w:hyperlink w:history="1" r:id="rId28">
              <w:r w:rsidRPr="0043528A" w:rsidR="002F6581">
                <w:rPr>
                  <w:rStyle w:val="Hyperlink"/>
                </w:rPr>
                <w:t>Victorian Legislation</w:t>
              </w:r>
              <w:r w:rsidRPr="00F16FE9" w:rsidR="002F6581">
                <w:rPr>
                  <w:rStyle w:val="Hyperlink"/>
                  <w:i/>
                  <w:iCs/>
                </w:rPr>
                <w:t xml:space="preserve"> Residential Tenancies Act 1997</w:t>
              </w:r>
              <w:r w:rsidRPr="002958E9" w:rsidR="002F6581">
                <w:rPr>
                  <w:rStyle w:val="Hyperlink"/>
                </w:rPr>
                <w:t xml:space="preserve"> </w:t>
              </w:r>
              <w:r w:rsidR="002958E9">
                <w:rPr>
                  <w:rStyle w:val="Hyperlink"/>
                </w:rPr>
                <w:t>web</w:t>
              </w:r>
              <w:r w:rsidR="0009714D">
                <w:rPr>
                  <w:rStyle w:val="Hyperlink"/>
                </w:rPr>
                <w:t>page</w:t>
              </w:r>
            </w:hyperlink>
            <w:r w:rsidRPr="00F16FE9" w:rsidR="002F6581">
              <w:rPr>
                <w:rStyle w:val="FootnoteReference"/>
              </w:rPr>
              <w:footnoteReference w:id="17"/>
            </w:r>
          </w:p>
        </w:tc>
      </w:tr>
    </w:tbl>
    <w:p w:rsidRPr="00AD651C" w:rsidR="000110F1" w:rsidP="003F5FCD" w:rsidRDefault="000110F1" w14:paraId="66AF2D72" w14:textId="77777777">
      <w:pPr>
        <w:pStyle w:val="Heading2"/>
      </w:pPr>
      <w:bookmarkStart w:name="_Glossary_of_terms" w:id="62"/>
      <w:bookmarkStart w:name="_Toc147315411" w:id="63"/>
      <w:bookmarkStart w:name="_Toc151042672" w:id="64"/>
      <w:bookmarkStart w:name="_Toc166852418" w:id="65"/>
      <w:bookmarkEnd w:id="62"/>
      <w:r>
        <w:t>Glossary of terms</w:t>
      </w:r>
      <w:bookmarkEnd w:id="63"/>
      <w:bookmarkEnd w:id="64"/>
      <w:bookmarkEnd w:id="65"/>
    </w:p>
    <w:p w:rsidR="000110F1" w:rsidP="000110F1" w:rsidRDefault="000110F1" w14:paraId="696F4DF2" w14:textId="380A3C12">
      <w:pPr>
        <w:pStyle w:val="Tablecaption"/>
      </w:pPr>
      <w:bookmarkStart w:name="_Ref164850940" w:id="66"/>
      <w:r>
        <w:t xml:space="preserve">Table </w:t>
      </w:r>
      <w:r>
        <w:fldChar w:fldCharType="begin"/>
      </w:r>
      <w:r>
        <w:instrText>SEQ Table \* ARABIC</w:instrText>
      </w:r>
      <w:r>
        <w:fldChar w:fldCharType="separate"/>
      </w:r>
      <w:r w:rsidR="00037B9D">
        <w:rPr>
          <w:noProof/>
        </w:rPr>
        <w:t>2</w:t>
      </w:r>
      <w:r>
        <w:fldChar w:fldCharType="end"/>
      </w:r>
      <w:bookmarkEnd w:id="66"/>
      <w:r>
        <w:t>. Key terms</w:t>
      </w:r>
      <w:r w:rsidR="00E152FC">
        <w:t xml:space="preserve"> used in this document</w:t>
      </w:r>
    </w:p>
    <w:tbl>
      <w:tblPr>
        <w:tblStyle w:val="TableGrid"/>
        <w:tblW w:w="5000" w:type="pct"/>
        <w:tblLook w:val="0620" w:firstRow="1" w:lastRow="0" w:firstColumn="0" w:lastColumn="0" w:noHBand="1" w:noVBand="1"/>
      </w:tblPr>
      <w:tblGrid>
        <w:gridCol w:w="2781"/>
        <w:gridCol w:w="7675"/>
      </w:tblGrid>
      <w:tr w:rsidRPr="00742F28" w:rsidR="000110F1" w:rsidTr="00BF6DDB" w14:paraId="6A073C5A" w14:textId="77777777">
        <w:trPr>
          <w:tblHeader/>
        </w:trPr>
        <w:tc>
          <w:tcPr>
            <w:tcW w:w="1330" w:type="pct"/>
          </w:tcPr>
          <w:p w:rsidRPr="00AD651C" w:rsidR="000110F1" w:rsidRDefault="000110F1" w14:paraId="6E0E2D74" w14:textId="77777777">
            <w:pPr>
              <w:pStyle w:val="Tablecolhead"/>
            </w:pPr>
            <w:r>
              <w:t>Term</w:t>
            </w:r>
          </w:p>
        </w:tc>
        <w:tc>
          <w:tcPr>
            <w:tcW w:w="3670" w:type="pct"/>
          </w:tcPr>
          <w:p w:rsidRPr="00AD651C" w:rsidR="000110F1" w:rsidRDefault="000110F1" w14:paraId="30F2B49A" w14:textId="77777777">
            <w:pPr>
              <w:pStyle w:val="Tablecolhead"/>
            </w:pPr>
            <w:r>
              <w:t>Meaning</w:t>
            </w:r>
          </w:p>
        </w:tc>
      </w:tr>
      <w:tr w:rsidRPr="00AF10E3" w:rsidR="000110F1" w:rsidTr="009F0746" w14:paraId="45A04289" w14:textId="77777777">
        <w:tc>
          <w:tcPr>
            <w:tcW w:w="1330" w:type="pct"/>
          </w:tcPr>
          <w:p w:rsidRPr="00BA31CA" w:rsidR="000110F1" w:rsidRDefault="000110F1" w14:paraId="32A342AE" w14:textId="77777777">
            <w:pPr>
              <w:pStyle w:val="Tabletext"/>
              <w:rPr>
                <w:b/>
                <w:bCs/>
              </w:rPr>
            </w:pPr>
            <w:r>
              <w:rPr>
                <w:b/>
                <w:bCs/>
              </w:rPr>
              <w:t>Act</w:t>
            </w:r>
          </w:p>
        </w:tc>
        <w:tc>
          <w:tcPr>
            <w:tcW w:w="3670" w:type="pct"/>
          </w:tcPr>
          <w:p w:rsidRPr="000A66E3" w:rsidR="000110F1" w:rsidRDefault="00CB7CE2" w14:paraId="3C41DBF6" w14:textId="7777622E">
            <w:pPr>
              <w:pStyle w:val="Tabletext"/>
            </w:pPr>
            <w:r w:rsidRPr="00CB7CE2">
              <w:t>In Victoria, an Act is a law that has been passed by both houses of Parliament and assented to by the Governor (Royal Assent).</w:t>
            </w:r>
          </w:p>
        </w:tc>
      </w:tr>
      <w:tr w:rsidRPr="00AF10E3" w:rsidR="000110F1" w:rsidTr="009F0746" w14:paraId="3538F87F" w14:textId="77777777">
        <w:tc>
          <w:tcPr>
            <w:tcW w:w="1330" w:type="pct"/>
          </w:tcPr>
          <w:p w:rsidRPr="00BA31CA" w:rsidR="000110F1" w:rsidRDefault="000110F1" w14:paraId="1FA85C47" w14:textId="77777777">
            <w:pPr>
              <w:pStyle w:val="Tabletext"/>
              <w:rPr>
                <w:b/>
                <w:bCs/>
              </w:rPr>
            </w:pPr>
            <w:r w:rsidRPr="00BA31CA">
              <w:rPr>
                <w:b/>
                <w:bCs/>
              </w:rPr>
              <w:t>Commencement</w:t>
            </w:r>
          </w:p>
        </w:tc>
        <w:tc>
          <w:tcPr>
            <w:tcW w:w="3670" w:type="pct"/>
          </w:tcPr>
          <w:p w:rsidRPr="000A66E3" w:rsidR="000110F1" w:rsidRDefault="00525A2F" w14:paraId="18E8C778" w14:textId="46186EAF">
            <w:pPr>
              <w:pStyle w:val="Tabletext"/>
            </w:pPr>
            <w:r>
              <w:rPr>
                <w:rStyle w:val="normaltextrun"/>
                <w:rFonts w:cs="Arial"/>
                <w:color w:val="000000"/>
                <w:shd w:val="clear" w:color="auto" w:fill="FFFFFF"/>
              </w:rPr>
              <w:t>Commencement means the time when provisions (rules) in an Act come into effect. Commencement provisions are included in an Act. They specify the date on which a whole Act, or different parts of an Act, come into effect.</w:t>
            </w:r>
          </w:p>
        </w:tc>
      </w:tr>
      <w:tr w:rsidRPr="00AF10E3" w:rsidR="0009714D" w:rsidTr="009F0746" w14:paraId="314E2122" w14:textId="77777777">
        <w:tc>
          <w:tcPr>
            <w:tcW w:w="1330" w:type="pct"/>
          </w:tcPr>
          <w:p w:rsidRPr="00BA31CA" w:rsidR="0009714D" w:rsidRDefault="0009714D" w14:paraId="7CE775E3" w14:textId="265AC0C3">
            <w:pPr>
              <w:pStyle w:val="Tabletext"/>
              <w:rPr>
                <w:b/>
                <w:bCs/>
              </w:rPr>
            </w:pPr>
            <w:r>
              <w:rPr>
                <w:b/>
                <w:bCs/>
              </w:rPr>
              <w:t>Consumer Affairs Victoria</w:t>
            </w:r>
          </w:p>
        </w:tc>
        <w:tc>
          <w:tcPr>
            <w:tcW w:w="3670" w:type="pct"/>
          </w:tcPr>
          <w:p w:rsidR="0009714D" w:rsidRDefault="00AB7AF4" w14:paraId="56A27422" w14:textId="23159560">
            <w:pPr>
              <w:pStyle w:val="Tabletext"/>
              <w:rPr>
                <w:rStyle w:val="normaltextrun"/>
                <w:rFonts w:cs="Arial"/>
                <w:color w:val="000000"/>
                <w:shd w:val="clear" w:color="auto" w:fill="FFFFFF"/>
              </w:rPr>
            </w:pPr>
            <w:r>
              <w:rPr>
                <w:rStyle w:val="normaltextrun"/>
                <w:rFonts w:cs="Arial"/>
                <w:color w:val="000000"/>
                <w:shd w:val="clear" w:color="auto" w:fill="FFFFFF"/>
              </w:rPr>
              <w:t>Consumer Affairs Victoria is a Victorian Government agency that is responsible for regulating accommodation under the Residential Tenancies Act and other consumer protection laws.</w:t>
            </w:r>
          </w:p>
        </w:tc>
      </w:tr>
      <w:tr w:rsidRPr="00AF10E3" w:rsidR="00AF36C0" w:rsidTr="009F0746" w14:paraId="7A6E4477" w14:textId="77777777">
        <w:trPr>
          <w:trHeight w:val="300"/>
        </w:trPr>
        <w:tc>
          <w:tcPr>
            <w:tcW w:w="1330" w:type="pct"/>
          </w:tcPr>
          <w:p w:rsidR="00AF36C0" w:rsidP="00AF36C0" w:rsidRDefault="00AF36C0" w14:paraId="500251A3" w14:textId="1A0A7FA2">
            <w:pPr>
              <w:pStyle w:val="Tabletext"/>
              <w:rPr>
                <w:b/>
                <w:bCs/>
              </w:rPr>
            </w:pPr>
            <w:r>
              <w:rPr>
                <w:b/>
                <w:bCs/>
              </w:rPr>
              <w:t>Daily independent living support</w:t>
            </w:r>
          </w:p>
        </w:tc>
        <w:tc>
          <w:tcPr>
            <w:tcW w:w="3670" w:type="pct"/>
          </w:tcPr>
          <w:p w:rsidR="00AF36C0" w:rsidP="00AF36C0" w:rsidRDefault="006C165D" w14:paraId="0402CC8F" w14:textId="2ACDAEA0">
            <w:pPr>
              <w:pStyle w:val="Tabletext"/>
            </w:pPr>
            <w:r w:rsidRPr="006C165D">
              <w:t xml:space="preserve">Daily independent living support is </w:t>
            </w:r>
            <w:r>
              <w:t>a</w:t>
            </w:r>
            <w:r w:rsidRPr="006C165D">
              <w:t xml:space="preserve"> type of </w:t>
            </w:r>
            <w:r w:rsidR="00C3029C">
              <w:t xml:space="preserve">funded </w:t>
            </w:r>
            <w:r>
              <w:t xml:space="preserve">daily </w:t>
            </w:r>
            <w:r w:rsidRPr="006C165D">
              <w:t xml:space="preserve">support to help </w:t>
            </w:r>
            <w:r>
              <w:t>people with disability</w:t>
            </w:r>
            <w:r w:rsidRPr="006C165D">
              <w:t xml:space="preserve"> live in </w:t>
            </w:r>
            <w:r>
              <w:t>their</w:t>
            </w:r>
            <w:r w:rsidRPr="006C165D">
              <w:t xml:space="preserve"> home.</w:t>
            </w:r>
            <w:r>
              <w:t xml:space="preserve"> </w:t>
            </w:r>
            <w:r w:rsidR="00C3029C">
              <w:t>The support may be funded by the NDIS as SIL or funded by another body, such as the Transport Accident Commission.</w:t>
            </w:r>
          </w:p>
        </w:tc>
      </w:tr>
      <w:tr w:rsidRPr="00AF10E3" w:rsidR="00525A2F" w:rsidTr="009F0746" w14:paraId="7269D953" w14:textId="77777777">
        <w:trPr>
          <w:trHeight w:val="300"/>
        </w:trPr>
        <w:tc>
          <w:tcPr>
            <w:tcW w:w="1330" w:type="pct"/>
          </w:tcPr>
          <w:p w:rsidR="00525A2F" w:rsidP="00AF36C0" w:rsidRDefault="00525A2F" w14:paraId="780C53AA" w14:textId="46374439">
            <w:pPr>
              <w:pStyle w:val="Tabletext"/>
              <w:rPr>
                <w:b/>
                <w:bCs/>
              </w:rPr>
            </w:pPr>
            <w:r>
              <w:rPr>
                <w:b/>
                <w:bCs/>
              </w:rPr>
              <w:t>Group home</w:t>
            </w:r>
          </w:p>
        </w:tc>
        <w:tc>
          <w:tcPr>
            <w:tcW w:w="3670" w:type="pct"/>
          </w:tcPr>
          <w:p w:rsidR="00525A2F" w:rsidP="00AF36C0" w:rsidRDefault="00525A2F" w14:paraId="0BF28876" w14:textId="283662AC">
            <w:pPr>
              <w:pStyle w:val="Tabletext"/>
            </w:pPr>
            <w:r w:rsidRPr="00525A2F">
              <w:t>In this document, group home means a residential service declared to be a group home under the Disability Act.</w:t>
            </w:r>
          </w:p>
        </w:tc>
      </w:tr>
      <w:tr w:rsidRPr="00AF10E3" w:rsidR="00AF36C0" w:rsidTr="009F0746" w14:paraId="3A80F82E" w14:textId="77777777">
        <w:trPr>
          <w:trHeight w:val="300"/>
        </w:trPr>
        <w:tc>
          <w:tcPr>
            <w:tcW w:w="1330" w:type="pct"/>
          </w:tcPr>
          <w:p w:rsidR="00AF36C0" w:rsidP="00AF36C0" w:rsidRDefault="00AF36C0" w14:paraId="0B729E13" w14:textId="5A99E8DA">
            <w:pPr>
              <w:pStyle w:val="Tabletext"/>
              <w:rPr>
                <w:b/>
                <w:bCs/>
              </w:rPr>
            </w:pPr>
            <w:r>
              <w:rPr>
                <w:b/>
                <w:bCs/>
              </w:rPr>
              <w:t>Head renter</w:t>
            </w:r>
          </w:p>
        </w:tc>
        <w:tc>
          <w:tcPr>
            <w:tcW w:w="3670" w:type="pct"/>
          </w:tcPr>
          <w:p w:rsidR="00AF36C0" w:rsidP="00AF36C0" w:rsidRDefault="00E7764C" w14:paraId="4726E737" w14:textId="214BCC73">
            <w:pPr>
              <w:pStyle w:val="Tabletext"/>
            </w:pPr>
            <w:r w:rsidRPr="00E7764C">
              <w:t>The head renter is the person whose name is on a residential rental agreement with a residential rental provider.</w:t>
            </w:r>
          </w:p>
        </w:tc>
      </w:tr>
      <w:tr w:rsidRPr="00AF10E3" w:rsidR="00AF36C0" w:rsidTr="009F0746" w14:paraId="107811CC" w14:textId="77777777">
        <w:trPr>
          <w:trHeight w:val="300"/>
        </w:trPr>
        <w:tc>
          <w:tcPr>
            <w:tcW w:w="1330" w:type="pct"/>
          </w:tcPr>
          <w:p w:rsidR="00AF36C0" w:rsidP="00AF36C0" w:rsidRDefault="00AF36C0" w14:paraId="2B3DC440" w14:textId="07C63728">
            <w:pPr>
              <w:pStyle w:val="Tabletext"/>
              <w:rPr>
                <w:b/>
                <w:bCs/>
              </w:rPr>
            </w:pPr>
            <w:r>
              <w:rPr>
                <w:b/>
                <w:bCs/>
              </w:rPr>
              <w:t>NDIS</w:t>
            </w:r>
          </w:p>
        </w:tc>
        <w:tc>
          <w:tcPr>
            <w:tcW w:w="3670" w:type="pct"/>
          </w:tcPr>
          <w:p w:rsidRPr="002444B5" w:rsidR="00AF36C0" w:rsidP="00AF36C0" w:rsidRDefault="00AF36C0" w14:paraId="7B9EA6F5" w14:textId="5A3EB77F">
            <w:pPr>
              <w:pStyle w:val="Tabletext"/>
            </w:pPr>
            <w:r>
              <w:t>National Disability Insurance Scheme</w:t>
            </w:r>
          </w:p>
        </w:tc>
      </w:tr>
      <w:tr w:rsidRPr="00AF10E3" w:rsidR="00AF36C0" w:rsidTr="009F0746" w14:paraId="6E8B18C0" w14:textId="77777777">
        <w:trPr>
          <w:trHeight w:val="300"/>
        </w:trPr>
        <w:tc>
          <w:tcPr>
            <w:tcW w:w="1330" w:type="pct"/>
          </w:tcPr>
          <w:p w:rsidR="00AF36C0" w:rsidP="00AF36C0" w:rsidRDefault="00AF36C0" w14:paraId="194E60BD" w14:textId="192FEFA1">
            <w:pPr>
              <w:pStyle w:val="Tabletext"/>
              <w:rPr>
                <w:b/>
                <w:bCs/>
              </w:rPr>
            </w:pPr>
            <w:r w:rsidRPr="00C35993">
              <w:rPr>
                <w:b/>
                <w:bCs/>
              </w:rPr>
              <w:t>Residential rental agreement</w:t>
            </w:r>
          </w:p>
        </w:tc>
        <w:tc>
          <w:tcPr>
            <w:tcW w:w="3670" w:type="pct"/>
          </w:tcPr>
          <w:p w:rsidR="000460F1" w:rsidP="00AF36C0" w:rsidRDefault="000460F1" w14:paraId="5D865B12" w14:textId="1E0A6FF3">
            <w:pPr>
              <w:pStyle w:val="Tabletext"/>
            </w:pPr>
            <w:r>
              <w:t>A</w:t>
            </w:r>
            <w:r w:rsidRPr="00E7764C">
              <w:t xml:space="preserve">n agreement </w:t>
            </w:r>
            <w:r w:rsidR="009360BD">
              <w:t>entered</w:t>
            </w:r>
            <w:r w:rsidRPr="00E7764C" w:rsidR="00E7764C">
              <w:t xml:space="preserve"> under Part 2 of the Residential Tenancies Act. It used to be called a lease or a residential tenancy agreement.</w:t>
            </w:r>
          </w:p>
          <w:p w:rsidR="003C0CB4" w:rsidP="00AF36C0" w:rsidRDefault="0029769E" w14:paraId="745FC8AB" w14:textId="5BC63259">
            <w:pPr>
              <w:pStyle w:val="Tabletext"/>
            </w:pPr>
            <w:r>
              <w:t>In this document,</w:t>
            </w:r>
            <w:r w:rsidRPr="00E7764C" w:rsidR="00E7764C">
              <w:t xml:space="preserve"> residential rental agreement </w:t>
            </w:r>
            <w:r>
              <w:t xml:space="preserve">has the same meaning as </w:t>
            </w:r>
            <w:r w:rsidR="003C0CB4">
              <w:t>the definition at section 3(1) of the Residential Tenancies Act</w:t>
            </w:r>
            <w:r w:rsidR="000460F1">
              <w:t>:</w:t>
            </w:r>
          </w:p>
          <w:p w:rsidR="00AF36C0" w:rsidP="000460F1" w:rsidRDefault="000460F1" w14:paraId="6EE1FBF0" w14:textId="7130B1C1">
            <w:pPr>
              <w:pStyle w:val="Tabletext"/>
              <w:ind w:left="720"/>
            </w:pPr>
            <w:r w:rsidRPr="000460F1">
              <w:rPr>
                <w:b/>
                <w:bCs/>
              </w:rPr>
              <w:t>residential rental agreement</w:t>
            </w:r>
            <w:r>
              <w:t xml:space="preserve"> means an agreement, </w:t>
            </w:r>
            <w:proofErr w:type="gramStart"/>
            <w:r>
              <w:t>whether</w:t>
            </w:r>
            <w:r w:rsidR="009360BD">
              <w:t xml:space="preserve"> </w:t>
            </w:r>
            <w:r>
              <w:t>or not</w:t>
            </w:r>
            <w:proofErr w:type="gramEnd"/>
            <w:r>
              <w:t xml:space="preserve"> in writing and whether express or implied, under which a</w:t>
            </w:r>
            <w:r w:rsidR="009360BD">
              <w:t xml:space="preserve"> </w:t>
            </w:r>
            <w:r>
              <w:t>person lets premises as a residence (but does not include an</w:t>
            </w:r>
            <w:r w:rsidR="009360BD">
              <w:t xml:space="preserve"> </w:t>
            </w:r>
            <w:r>
              <w:t>SDA residency agreement) and includes a fixed term</w:t>
            </w:r>
            <w:r w:rsidR="009360BD">
              <w:t xml:space="preserve"> </w:t>
            </w:r>
            <w:r>
              <w:t>residential rental agreement and a periodic residential rental</w:t>
            </w:r>
            <w:r w:rsidR="009360BD">
              <w:t xml:space="preserve"> </w:t>
            </w:r>
            <w:r>
              <w:t>agreement;</w:t>
            </w:r>
          </w:p>
        </w:tc>
      </w:tr>
      <w:tr w:rsidRPr="00AF10E3" w:rsidR="00AF36C0" w:rsidTr="009F0746" w14:paraId="27236CC6" w14:textId="77777777">
        <w:tc>
          <w:tcPr>
            <w:tcW w:w="1330" w:type="pct"/>
          </w:tcPr>
          <w:p w:rsidR="00AF36C0" w:rsidDel="00D47C83" w:rsidP="00AF36C0" w:rsidRDefault="00AF36C0" w14:paraId="7637649B" w14:textId="36C25E9D">
            <w:pPr>
              <w:pStyle w:val="Tabletext"/>
              <w:rPr>
                <w:b/>
                <w:bCs/>
              </w:rPr>
            </w:pPr>
            <w:r>
              <w:rPr>
                <w:b/>
                <w:bCs/>
              </w:rPr>
              <w:t>Residential rental provider</w:t>
            </w:r>
          </w:p>
        </w:tc>
        <w:tc>
          <w:tcPr>
            <w:tcW w:w="3670" w:type="pct"/>
          </w:tcPr>
          <w:p w:rsidR="00AF36C0" w:rsidDel="00D47C83" w:rsidP="00AF36C0" w:rsidRDefault="00E7764C" w14:paraId="461B79FB" w14:textId="6168B143">
            <w:pPr>
              <w:pStyle w:val="Tabletext"/>
            </w:pPr>
            <w:r w:rsidRPr="00E7764C">
              <w:t>A residential rental provider is the person who provides accommodation for rent under a residential rental agreement. A residential rental provider used to be called a landlord.</w:t>
            </w:r>
          </w:p>
        </w:tc>
      </w:tr>
      <w:tr w:rsidRPr="00AF10E3" w:rsidR="00AF36C0" w:rsidTr="009F0746" w14:paraId="7E7206D1" w14:textId="77777777">
        <w:tc>
          <w:tcPr>
            <w:tcW w:w="1330" w:type="pct"/>
          </w:tcPr>
          <w:p w:rsidR="00AF36C0" w:rsidDel="00D47C83" w:rsidP="00AF36C0" w:rsidRDefault="00AF36C0" w14:paraId="0F5FD0D0" w14:textId="0F06211A">
            <w:pPr>
              <w:pStyle w:val="Tabletext"/>
              <w:rPr>
                <w:b/>
                <w:bCs/>
              </w:rPr>
            </w:pPr>
            <w:r>
              <w:rPr>
                <w:b/>
                <w:bCs/>
              </w:rPr>
              <w:t>SDA</w:t>
            </w:r>
          </w:p>
        </w:tc>
        <w:tc>
          <w:tcPr>
            <w:tcW w:w="3670" w:type="pct"/>
          </w:tcPr>
          <w:p w:rsidR="00AF36C0" w:rsidP="00AF36C0" w:rsidRDefault="00FA7A11" w14:paraId="2525BEF6" w14:textId="77777777">
            <w:pPr>
              <w:pStyle w:val="Tabletext"/>
            </w:pPr>
            <w:r w:rsidRPr="00FA7A11">
              <w:t>Specialist disability accommodation is accommodation for people with disability with high support needs. SDA may be occupied by only one person with disability or shared with other people with disability.</w:t>
            </w:r>
          </w:p>
          <w:p w:rsidR="00871B1D" w:rsidDel="00D47C83" w:rsidP="00AF36C0" w:rsidRDefault="00871B1D" w14:paraId="69DA801F" w14:textId="341B9B31">
            <w:pPr>
              <w:pStyle w:val="Tabletext"/>
            </w:pPr>
            <w:r>
              <w:t xml:space="preserve">From 1 July 2024, the SDA term in the Residential Tenancies Act will have a broader meaning than the definition of SDA in the </w:t>
            </w:r>
            <w:r w:rsidRPr="00024EBB">
              <w:t>National Disability Insurance Scheme (Specialist Disability Accommodation) Rules 2020</w:t>
            </w:r>
            <w:r>
              <w:t xml:space="preserve"> (Cth).</w:t>
            </w:r>
          </w:p>
        </w:tc>
      </w:tr>
      <w:tr w:rsidRPr="00AF10E3" w:rsidR="00FA7A11" w:rsidTr="009F0746" w14:paraId="7B9730A3" w14:textId="77777777">
        <w:tc>
          <w:tcPr>
            <w:tcW w:w="1330" w:type="pct"/>
          </w:tcPr>
          <w:p w:rsidR="00FA7A11" w:rsidP="00AF36C0" w:rsidRDefault="00FA7A11" w14:paraId="40271059" w14:textId="35C01013">
            <w:pPr>
              <w:pStyle w:val="Tabletext"/>
              <w:rPr>
                <w:b/>
                <w:bCs/>
              </w:rPr>
            </w:pPr>
            <w:r>
              <w:rPr>
                <w:b/>
                <w:bCs/>
              </w:rPr>
              <w:t>SDA dwelling</w:t>
            </w:r>
          </w:p>
        </w:tc>
        <w:tc>
          <w:tcPr>
            <w:tcW w:w="3670" w:type="pct"/>
          </w:tcPr>
          <w:p w:rsidRPr="00FA7A11" w:rsidR="00FA7A11" w:rsidP="00AF36C0" w:rsidRDefault="00FA7A11" w14:paraId="35AAFC20" w14:textId="08BAED2D">
            <w:pPr>
              <w:pStyle w:val="Tabletext"/>
            </w:pPr>
            <w:r w:rsidRPr="00FA7A11">
              <w:t>SDA dwelling will be a new term under the Residential Tenancies Act. It will include SDA enrolled dwelling as well as other types of SDA, such as SDA funded by the Transport Accident Commission.</w:t>
            </w:r>
          </w:p>
        </w:tc>
      </w:tr>
      <w:tr w:rsidRPr="00AF10E3" w:rsidR="00FA7A11" w:rsidTr="009F0746" w14:paraId="2F1EF02F" w14:textId="77777777">
        <w:tc>
          <w:tcPr>
            <w:tcW w:w="1330" w:type="pct"/>
          </w:tcPr>
          <w:p w:rsidR="00FA7A11" w:rsidP="00AF36C0" w:rsidRDefault="00FA7A11" w14:paraId="4491E940" w14:textId="509E0EC8">
            <w:pPr>
              <w:pStyle w:val="Tabletext"/>
              <w:rPr>
                <w:b/>
                <w:bCs/>
              </w:rPr>
            </w:pPr>
            <w:r>
              <w:rPr>
                <w:b/>
                <w:bCs/>
              </w:rPr>
              <w:t>SDA provider</w:t>
            </w:r>
          </w:p>
        </w:tc>
        <w:tc>
          <w:tcPr>
            <w:tcW w:w="3670" w:type="pct"/>
          </w:tcPr>
          <w:p w:rsidRPr="00FA7A11" w:rsidR="00FA7A11" w:rsidP="00AF36C0" w:rsidRDefault="00FA7A11" w14:paraId="2CAE206E" w14:textId="3BCE3C58">
            <w:pPr>
              <w:pStyle w:val="Tabletext"/>
            </w:pPr>
            <w:r>
              <w:t xml:space="preserve">SDA provider </w:t>
            </w:r>
            <w:r w:rsidR="00E076F1">
              <w:t>is a term in</w:t>
            </w:r>
            <w:r w:rsidRPr="00FA7A11" w:rsidR="00E076F1">
              <w:t xml:space="preserve"> the Residential Tenancies Act</w:t>
            </w:r>
            <w:r w:rsidR="00E076F1">
              <w:t>. It will be updated to mean a provider of an SDA dwelling.</w:t>
            </w:r>
          </w:p>
        </w:tc>
      </w:tr>
      <w:tr w:rsidRPr="00AF10E3" w:rsidR="00E076F1" w:rsidTr="009F0746" w14:paraId="0540A5C8" w14:textId="77777777">
        <w:tc>
          <w:tcPr>
            <w:tcW w:w="1330" w:type="pct"/>
          </w:tcPr>
          <w:p w:rsidR="00E076F1" w:rsidP="00AF36C0" w:rsidRDefault="00E076F1" w14:paraId="23C9B1E4" w14:textId="19B702D5">
            <w:pPr>
              <w:pStyle w:val="Tabletext"/>
              <w:rPr>
                <w:b/>
                <w:bCs/>
              </w:rPr>
            </w:pPr>
            <w:r>
              <w:rPr>
                <w:b/>
                <w:bCs/>
              </w:rPr>
              <w:t>SDA resident</w:t>
            </w:r>
          </w:p>
        </w:tc>
        <w:tc>
          <w:tcPr>
            <w:tcW w:w="3670" w:type="pct"/>
          </w:tcPr>
          <w:p w:rsidR="00E076F1" w:rsidP="00AF36C0" w:rsidRDefault="00E076F1" w14:paraId="0BBA4DA0" w14:textId="0657BDD1">
            <w:pPr>
              <w:pStyle w:val="Tabletext"/>
            </w:pPr>
            <w:r>
              <w:t xml:space="preserve">SDA resident is a term in </w:t>
            </w:r>
            <w:r w:rsidRPr="00FA7A11">
              <w:t>Residential Tenancies Act</w:t>
            </w:r>
            <w:r>
              <w:t>. It will be updated to mean a resident of an SDA dwelling.</w:t>
            </w:r>
          </w:p>
        </w:tc>
      </w:tr>
      <w:tr w:rsidRPr="00AF10E3" w:rsidR="00AF36C0" w:rsidTr="009F0746" w14:paraId="7C74E708" w14:textId="77777777">
        <w:tc>
          <w:tcPr>
            <w:tcW w:w="1330" w:type="pct"/>
          </w:tcPr>
          <w:p w:rsidRPr="00C35993" w:rsidR="00AF36C0" w:rsidP="00AF36C0" w:rsidRDefault="00AF36C0" w14:paraId="725A6BA7" w14:textId="61DDF765">
            <w:pPr>
              <w:pStyle w:val="Tabletext"/>
              <w:rPr>
                <w:b/>
                <w:bCs/>
              </w:rPr>
            </w:pPr>
            <w:r w:rsidRPr="00C35993">
              <w:rPr>
                <w:b/>
                <w:bCs/>
              </w:rPr>
              <w:t>SDA residency agreement</w:t>
            </w:r>
          </w:p>
        </w:tc>
        <w:tc>
          <w:tcPr>
            <w:tcW w:w="3670" w:type="pct"/>
          </w:tcPr>
          <w:p w:rsidRPr="00C35993" w:rsidR="00AF36C0" w:rsidP="00AF36C0" w:rsidRDefault="00FA7A11" w14:paraId="11E0E9C5" w14:textId="3715CF75">
            <w:pPr>
              <w:pStyle w:val="Tabletext"/>
            </w:pPr>
            <w:r w:rsidRPr="00FA7A11">
              <w:t xml:space="preserve">An agreement </w:t>
            </w:r>
            <w:proofErr w:type="gramStart"/>
            <w:r w:rsidRPr="00FA7A11">
              <w:t>entered into</w:t>
            </w:r>
            <w:proofErr w:type="gramEnd"/>
            <w:r w:rsidRPr="00FA7A11">
              <w:t xml:space="preserve"> or established under Part 12A of the Residential Tenancies Act. SDA residency agreements are </w:t>
            </w:r>
            <w:proofErr w:type="gramStart"/>
            <w:r w:rsidRPr="00FA7A11">
              <w:t>similar to</w:t>
            </w:r>
            <w:proofErr w:type="gramEnd"/>
            <w:r w:rsidRPr="00FA7A11">
              <w:t xml:space="preserve"> residential rental agreements but include additional protections for SDA residents.</w:t>
            </w:r>
          </w:p>
        </w:tc>
      </w:tr>
      <w:tr w:rsidRPr="00AF10E3" w:rsidR="00AF36C0" w:rsidTr="009F0746" w14:paraId="0B645B90" w14:textId="77777777">
        <w:tc>
          <w:tcPr>
            <w:tcW w:w="1330" w:type="pct"/>
          </w:tcPr>
          <w:p w:rsidRPr="00C35993" w:rsidR="00AF36C0" w:rsidP="00AF36C0" w:rsidRDefault="00AF36C0" w14:paraId="0C0DE4DA" w14:textId="5DDA79D0">
            <w:pPr>
              <w:pStyle w:val="Tabletext"/>
              <w:rPr>
                <w:b/>
                <w:bCs/>
              </w:rPr>
            </w:pPr>
            <w:r>
              <w:rPr>
                <w:b/>
                <w:bCs/>
              </w:rPr>
              <w:t>SIL</w:t>
            </w:r>
          </w:p>
        </w:tc>
        <w:tc>
          <w:tcPr>
            <w:tcW w:w="3670" w:type="pct"/>
          </w:tcPr>
          <w:p w:rsidR="00AF36C0" w:rsidP="00AF36C0" w:rsidRDefault="00AF36C0" w14:paraId="0C11367F" w14:textId="63C50287">
            <w:pPr>
              <w:pStyle w:val="Tabletext"/>
            </w:pPr>
            <w:r>
              <w:t>NDIS Supported Independent Living</w:t>
            </w:r>
          </w:p>
        </w:tc>
      </w:tr>
    </w:tbl>
    <w:p w:rsidR="00CC1283" w:rsidP="00EC6960" w:rsidRDefault="00CC1283" w14:paraId="5533788F" w14:textId="467AAC30">
      <w:pPr>
        <w:pStyle w:val="Heading1"/>
        <w:numPr>
          <w:ilvl w:val="0"/>
          <w:numId w:val="0"/>
        </w:numPr>
      </w:pPr>
      <w:bookmarkStart w:name="_Appendix_1:_Key" w:id="67"/>
      <w:bookmarkStart w:name="_Appendix_2:_Key" w:id="68"/>
      <w:bookmarkStart w:name="_Appendix_2:_Key_1" w:id="69"/>
      <w:bookmarkStart w:name="_Ref164759432" w:id="70"/>
      <w:bookmarkStart w:name="_Ref164851073" w:id="71"/>
      <w:bookmarkStart w:name="_Ref164851279" w:id="72"/>
      <w:bookmarkStart w:name="_Ref164851446" w:id="73"/>
      <w:bookmarkStart w:name="_Toc166852419" w:id="74"/>
      <w:bookmarkEnd w:id="67"/>
      <w:bookmarkEnd w:id="68"/>
      <w:bookmarkEnd w:id="69"/>
      <w:r>
        <w:t xml:space="preserve">Appendix </w:t>
      </w:r>
      <w:r w:rsidR="00E152FC">
        <w:t>2</w:t>
      </w:r>
      <w:r>
        <w:t xml:space="preserve">: </w:t>
      </w:r>
      <w:r w:rsidRPr="005D2E7C" w:rsidR="005D2E7C">
        <w:t xml:space="preserve">Key actions for </w:t>
      </w:r>
      <w:r w:rsidR="0056048D">
        <w:t xml:space="preserve">SDA </w:t>
      </w:r>
      <w:r w:rsidRPr="005D2E7C" w:rsidR="005D2E7C">
        <w:t>providers from 1 July 2024</w:t>
      </w:r>
      <w:bookmarkEnd w:id="70"/>
      <w:bookmarkEnd w:id="71"/>
      <w:bookmarkEnd w:id="72"/>
      <w:bookmarkEnd w:id="73"/>
      <w:bookmarkEnd w:id="74"/>
    </w:p>
    <w:p w:rsidR="00CC1283" w:rsidP="00CC1283" w:rsidRDefault="00CC1283" w14:paraId="32A4E196" w14:textId="62B045A6">
      <w:pPr>
        <w:pStyle w:val="Tablecaption"/>
      </w:pPr>
      <w:r>
        <w:t xml:space="preserve">Table </w:t>
      </w:r>
      <w:r>
        <w:fldChar w:fldCharType="begin"/>
      </w:r>
      <w:r>
        <w:instrText>SEQ Table \* ARABIC</w:instrText>
      </w:r>
      <w:r>
        <w:fldChar w:fldCharType="separate"/>
      </w:r>
      <w:r w:rsidR="00037B9D">
        <w:rPr>
          <w:noProof/>
        </w:rPr>
        <w:t>3</w:t>
      </w:r>
      <w:r>
        <w:fldChar w:fldCharType="end"/>
      </w:r>
      <w:r>
        <w:t xml:space="preserve">. </w:t>
      </w:r>
      <w:r w:rsidR="0056048D">
        <w:t xml:space="preserve">Key actions for SDA </w:t>
      </w:r>
      <w:r w:rsidRPr="0056048D" w:rsidR="0056048D">
        <w:t>providers from 1 July 2024.</w:t>
      </w:r>
    </w:p>
    <w:tbl>
      <w:tblPr>
        <w:tblStyle w:val="TableGrid"/>
        <w:tblpPr w:leftFromText="180" w:rightFromText="180" w:vertAnchor="text" w:tblpY="1"/>
        <w:tblOverlap w:val="never"/>
        <w:tblW w:w="5149" w:type="pct"/>
        <w:tblLook w:val="0620" w:firstRow="1" w:lastRow="0" w:firstColumn="0" w:lastColumn="0" w:noHBand="1" w:noVBand="1"/>
      </w:tblPr>
      <w:tblGrid>
        <w:gridCol w:w="2104"/>
        <w:gridCol w:w="1740"/>
        <w:gridCol w:w="3543"/>
        <w:gridCol w:w="3381"/>
      </w:tblGrid>
      <w:tr w:rsidRPr="00742F28" w:rsidR="00983F00" w:rsidTr="000526DF" w14:paraId="3C505957" w14:textId="74059CC4">
        <w:trPr>
          <w:tblHeader/>
        </w:trPr>
        <w:tc>
          <w:tcPr>
            <w:tcW w:w="977" w:type="pct"/>
          </w:tcPr>
          <w:p w:rsidRPr="00AD651C" w:rsidR="00C157C6" w:rsidRDefault="0096441C" w14:paraId="7A6F16F3" w14:textId="1F870E41">
            <w:pPr>
              <w:pStyle w:val="Tablecolhead"/>
            </w:pPr>
            <w:r>
              <w:t>Dwelling</w:t>
            </w:r>
          </w:p>
        </w:tc>
        <w:tc>
          <w:tcPr>
            <w:tcW w:w="808" w:type="pct"/>
          </w:tcPr>
          <w:p w:rsidRPr="00AD651C" w:rsidR="00C157C6" w:rsidRDefault="00E1320B" w14:paraId="12D051DB" w14:textId="375551B9">
            <w:pPr>
              <w:pStyle w:val="Tablecolhead"/>
            </w:pPr>
            <w:r>
              <w:t>A</w:t>
            </w:r>
            <w:r w:rsidR="00C157C6">
              <w:t>greement</w:t>
            </w:r>
            <w:r w:rsidR="005F0071">
              <w:t xml:space="preserve"> in place as </w:t>
            </w:r>
            <w:proofErr w:type="gramStart"/>
            <w:r w:rsidR="005F0071">
              <w:t>at</w:t>
            </w:r>
            <w:proofErr w:type="gramEnd"/>
            <w:r w:rsidR="005F0071">
              <w:t xml:space="preserve"> 30 June 2024</w:t>
            </w:r>
          </w:p>
        </w:tc>
        <w:tc>
          <w:tcPr>
            <w:tcW w:w="1645" w:type="pct"/>
          </w:tcPr>
          <w:p w:rsidR="00C157C6" w:rsidRDefault="0056048D" w14:paraId="5CE0EF7C" w14:textId="77880ACA">
            <w:pPr>
              <w:pStyle w:val="Tablecolhead"/>
            </w:pPr>
            <w:r>
              <w:t>Key a</w:t>
            </w:r>
            <w:r w:rsidRPr="00AC22EC" w:rsidR="00C157C6">
              <w:t>ctions</w:t>
            </w:r>
          </w:p>
        </w:tc>
        <w:tc>
          <w:tcPr>
            <w:tcW w:w="1570" w:type="pct"/>
          </w:tcPr>
          <w:p w:rsidRPr="00AC22EC" w:rsidR="00C157C6" w:rsidRDefault="0056048D" w14:paraId="165BFD3F" w14:textId="5CD0E6CB">
            <w:pPr>
              <w:pStyle w:val="Tablecolhead"/>
            </w:pPr>
            <w:r>
              <w:t>Additional information</w:t>
            </w:r>
          </w:p>
        </w:tc>
      </w:tr>
      <w:tr w:rsidRPr="00AF10E3" w:rsidR="00983F00" w:rsidTr="000526DF" w14:paraId="693F68B9" w14:textId="62D05217">
        <w:tc>
          <w:tcPr>
            <w:tcW w:w="977" w:type="pct"/>
          </w:tcPr>
          <w:p w:rsidR="00C157C6" w:rsidRDefault="00C157C6" w14:paraId="35889541" w14:textId="5DA4452B">
            <w:pPr>
              <w:pStyle w:val="Tabletext"/>
              <w:rPr>
                <w:b/>
                <w:bCs/>
              </w:rPr>
            </w:pPr>
            <w:r>
              <w:rPr>
                <w:b/>
                <w:bCs/>
              </w:rPr>
              <w:t>SDA enrolled dwelling</w:t>
            </w:r>
          </w:p>
          <w:p w:rsidRPr="00526F69" w:rsidR="00526F69" w:rsidRDefault="00526F69" w14:paraId="71802AA8" w14:textId="08713E70">
            <w:pPr>
              <w:pStyle w:val="Tabletext"/>
            </w:pPr>
            <w:r w:rsidRPr="00526F69">
              <w:t>Accommodation enrolled with the NDIS as SDA.</w:t>
            </w:r>
          </w:p>
        </w:tc>
        <w:tc>
          <w:tcPr>
            <w:tcW w:w="808" w:type="pct"/>
          </w:tcPr>
          <w:p w:rsidRPr="00A71BE1" w:rsidR="00C157C6" w:rsidRDefault="00C157C6" w14:paraId="319EECA7" w14:textId="7CFBA925">
            <w:pPr>
              <w:pStyle w:val="Tabletext"/>
              <w:rPr>
                <w:b/>
                <w:bCs/>
              </w:rPr>
            </w:pPr>
            <w:r w:rsidRPr="00A71BE1">
              <w:rPr>
                <w:b/>
                <w:bCs/>
              </w:rPr>
              <w:t>SDA residency agreement</w:t>
            </w:r>
          </w:p>
        </w:tc>
        <w:tc>
          <w:tcPr>
            <w:tcW w:w="1645" w:type="pct"/>
          </w:tcPr>
          <w:p w:rsidRPr="00526F69" w:rsidR="00C157C6" w:rsidP="0056048D" w:rsidRDefault="0056048D" w14:paraId="3C998992" w14:textId="4CA9A7AD">
            <w:pPr>
              <w:pStyle w:val="Tablebullet1"/>
              <w:rPr>
                <w:b/>
                <w:bCs/>
              </w:rPr>
            </w:pPr>
            <w:r w:rsidRPr="00526F69">
              <w:rPr>
                <w:b/>
                <w:bCs/>
              </w:rPr>
              <w:t xml:space="preserve">Understand and </w:t>
            </w:r>
            <w:r w:rsidR="00383DC1">
              <w:rPr>
                <w:b/>
                <w:bCs/>
              </w:rPr>
              <w:t xml:space="preserve">continue to </w:t>
            </w:r>
            <w:r w:rsidRPr="00526F69">
              <w:rPr>
                <w:b/>
                <w:bCs/>
              </w:rPr>
              <w:t xml:space="preserve">comply with obligations under the </w:t>
            </w:r>
            <w:r w:rsidRPr="00526F69">
              <w:rPr>
                <w:b/>
                <w:bCs/>
                <w:i/>
                <w:iCs/>
              </w:rPr>
              <w:t>Residential Tenancies Act</w:t>
            </w:r>
            <w:r w:rsidRPr="00526F69" w:rsidR="006A3C03">
              <w:rPr>
                <w:b/>
                <w:bCs/>
                <w:i/>
                <w:iCs/>
              </w:rPr>
              <w:t xml:space="preserve"> 1997 </w:t>
            </w:r>
            <w:r w:rsidRPr="00526F69" w:rsidR="006A3C03">
              <w:rPr>
                <w:b/>
                <w:bCs/>
              </w:rPr>
              <w:t>(Residential Tenancies Act)</w:t>
            </w:r>
            <w:r w:rsidRPr="00526F69">
              <w:rPr>
                <w:b/>
                <w:bCs/>
              </w:rPr>
              <w:t>.</w:t>
            </w:r>
          </w:p>
        </w:tc>
        <w:tc>
          <w:tcPr>
            <w:tcW w:w="1570" w:type="pct"/>
          </w:tcPr>
          <w:p w:rsidR="00C157C6" w:rsidP="00CD6DE7" w:rsidRDefault="0056048D" w14:paraId="6CEA1658" w14:textId="04DC364D">
            <w:pPr>
              <w:pStyle w:val="Tablebullet1"/>
            </w:pPr>
            <w:r>
              <w:t>The k</w:t>
            </w:r>
            <w:r w:rsidR="00C157C6">
              <w:t>ey obligations of SDA providers providing an SDA enrolled dwelling to one or more SDA residents under an SDA residency agreement have not changed.</w:t>
            </w:r>
          </w:p>
        </w:tc>
      </w:tr>
      <w:tr w:rsidRPr="00AF10E3" w:rsidR="00983F00" w:rsidTr="000526DF" w14:paraId="036191D9" w14:textId="77777777">
        <w:tc>
          <w:tcPr>
            <w:tcW w:w="977" w:type="pct"/>
          </w:tcPr>
          <w:p w:rsidR="00FA1D01" w:rsidRDefault="00C157C6" w14:paraId="65BFBC27" w14:textId="01FE5BB7">
            <w:pPr>
              <w:pStyle w:val="Tabletext"/>
              <w:rPr>
                <w:b/>
                <w:bCs/>
              </w:rPr>
            </w:pPr>
            <w:r>
              <w:rPr>
                <w:b/>
                <w:bCs/>
              </w:rPr>
              <w:t>SDA enrolled dwelling</w:t>
            </w:r>
          </w:p>
          <w:p w:rsidR="00526F69" w:rsidRDefault="00526F69" w14:paraId="6BC401A9" w14:textId="07A200C8">
            <w:pPr>
              <w:pStyle w:val="Tabletext"/>
              <w:rPr>
                <w:b/>
                <w:bCs/>
              </w:rPr>
            </w:pPr>
            <w:r w:rsidRPr="00526F69">
              <w:t>Accommodation enrolled with the NDIS as SDA.</w:t>
            </w:r>
          </w:p>
        </w:tc>
        <w:tc>
          <w:tcPr>
            <w:tcW w:w="808" w:type="pct"/>
          </w:tcPr>
          <w:p w:rsidRPr="00A71BE1" w:rsidR="00C157C6" w:rsidRDefault="00C157C6" w14:paraId="5980A189" w14:textId="039F892E">
            <w:pPr>
              <w:pStyle w:val="Tabletext"/>
              <w:rPr>
                <w:b/>
                <w:bCs/>
              </w:rPr>
            </w:pPr>
            <w:r w:rsidRPr="00A71BE1">
              <w:rPr>
                <w:b/>
                <w:bCs/>
              </w:rPr>
              <w:t>Residential rental agreement</w:t>
            </w:r>
          </w:p>
        </w:tc>
        <w:tc>
          <w:tcPr>
            <w:tcW w:w="1645" w:type="pct"/>
          </w:tcPr>
          <w:p w:rsidRPr="00526F69" w:rsidR="00CD6DE7" w:rsidP="00CD6DE7" w:rsidRDefault="00CD6DE7" w14:paraId="31D28945" w14:textId="23928206">
            <w:pPr>
              <w:pStyle w:val="Tablebullet1"/>
              <w:rPr>
                <w:b/>
                <w:bCs/>
              </w:rPr>
            </w:pPr>
            <w:r w:rsidRPr="00526F69">
              <w:rPr>
                <w:b/>
                <w:bCs/>
              </w:rPr>
              <w:t>Understand and comply with obligations under the Residential Tenancies Act.</w:t>
            </w:r>
          </w:p>
          <w:p w:rsidRPr="00526F69" w:rsidR="00CD6DE7" w:rsidP="00CD6DE7" w:rsidRDefault="00CD6DE7" w14:paraId="27348235" w14:textId="446014B1">
            <w:pPr>
              <w:pStyle w:val="Tablebullet1"/>
              <w:rPr>
                <w:b/>
                <w:bCs/>
              </w:rPr>
            </w:pPr>
            <w:r w:rsidRPr="00526F69">
              <w:rPr>
                <w:b/>
                <w:bCs/>
              </w:rPr>
              <w:t>Within six months from 1 July 2024:</w:t>
            </w:r>
          </w:p>
          <w:p w:rsidRPr="00CD6DE7" w:rsidR="00CD6DE7" w:rsidP="00CD6DE7" w:rsidRDefault="00CD6DE7" w14:paraId="2473EB9F" w14:textId="4F20CB9E">
            <w:pPr>
              <w:pStyle w:val="Tablebullet2"/>
            </w:pPr>
            <w:r w:rsidRPr="00CD6DE7">
              <w:t xml:space="preserve">give </w:t>
            </w:r>
            <w:r w:rsidR="006A3C03">
              <w:t>each</w:t>
            </w:r>
            <w:r w:rsidRPr="00CD6DE7">
              <w:t xml:space="preserve"> SDA resident an information statement in the approved form; and</w:t>
            </w:r>
          </w:p>
          <w:p w:rsidRPr="00CD6DE7" w:rsidR="00CD6DE7" w:rsidP="00CD6DE7" w:rsidRDefault="00CD6DE7" w14:paraId="0E22E75D" w14:textId="2456B898">
            <w:pPr>
              <w:pStyle w:val="Tablebullet2"/>
            </w:pPr>
            <w:r w:rsidRPr="00CD6DE7">
              <w:t xml:space="preserve">offer </w:t>
            </w:r>
            <w:r w:rsidR="006A3C03">
              <w:t>each</w:t>
            </w:r>
            <w:r w:rsidRPr="00CD6DE7">
              <w:t xml:space="preserve"> SDA resident the choice to </w:t>
            </w:r>
            <w:proofErr w:type="gramStart"/>
            <w:r w:rsidRPr="00CD6DE7">
              <w:t>enter into</w:t>
            </w:r>
            <w:proofErr w:type="gramEnd"/>
            <w:r w:rsidRPr="00CD6DE7">
              <w:t xml:space="preserve"> or establish an SDA residency agreement with the SDA provider.</w:t>
            </w:r>
          </w:p>
          <w:p w:rsidRPr="00526F69" w:rsidR="00CD6DE7" w:rsidP="00CD6DE7" w:rsidRDefault="000105DB" w14:paraId="19BF867F" w14:textId="52C8CE6C">
            <w:pPr>
              <w:pStyle w:val="Tablebullet1"/>
              <w:rPr>
                <w:b/>
                <w:bCs/>
              </w:rPr>
            </w:pPr>
            <w:r>
              <w:rPr>
                <w:b/>
                <w:bCs/>
              </w:rPr>
              <w:t>If</w:t>
            </w:r>
            <w:r w:rsidRPr="00526F69" w:rsidR="00CD6DE7">
              <w:rPr>
                <w:b/>
                <w:bCs/>
              </w:rPr>
              <w:t xml:space="preserve"> an SDA residency agreement is entered</w:t>
            </w:r>
            <w:r w:rsidR="00CA246E">
              <w:rPr>
                <w:b/>
                <w:bCs/>
              </w:rPr>
              <w:t xml:space="preserve"> into</w:t>
            </w:r>
            <w:r w:rsidRPr="00526F69" w:rsidR="00CD6DE7">
              <w:rPr>
                <w:b/>
                <w:bCs/>
              </w:rPr>
              <w:t xml:space="preserve"> or established:</w:t>
            </w:r>
          </w:p>
          <w:p w:rsidRPr="00CD6DE7" w:rsidR="00CD6DE7" w:rsidP="00CD6DE7" w:rsidRDefault="00CD6DE7" w14:paraId="21D99021" w14:textId="33BAA102">
            <w:pPr>
              <w:pStyle w:val="Tablebullet2"/>
            </w:pPr>
            <w:r w:rsidRPr="00CD6DE7">
              <w:t>notify Consumer Affairs Victoria in writing within 14 days; and</w:t>
            </w:r>
          </w:p>
          <w:p w:rsidR="00C157C6" w:rsidP="00CD6DE7" w:rsidRDefault="00CD6DE7" w14:paraId="36C1E966" w14:textId="44848925">
            <w:pPr>
              <w:pStyle w:val="Tablebullet2"/>
            </w:pPr>
            <w:r w:rsidRPr="00CD6DE7">
              <w:t>give a copy of the SDA residency agreement to the SDA resident and their guardian or administrator (as applicable).</w:t>
            </w:r>
          </w:p>
        </w:tc>
        <w:tc>
          <w:tcPr>
            <w:tcW w:w="1570" w:type="pct"/>
          </w:tcPr>
          <w:p w:rsidR="00FA1D01" w:rsidP="00FA1D01" w:rsidRDefault="00FA1D01" w14:paraId="5C4D51AE" w14:textId="29D7ADCC">
            <w:pPr>
              <w:pStyle w:val="Tablebullet1"/>
            </w:pPr>
            <w:r>
              <w:t>It is an offence not to comply with these transitional obligations.</w:t>
            </w:r>
          </w:p>
          <w:p w:rsidR="0056048D" w:rsidP="00FA1D01" w:rsidRDefault="007421A9" w14:paraId="5FDAC4E0" w14:textId="10AD1D64">
            <w:pPr>
              <w:pStyle w:val="Tablebullet1"/>
            </w:pPr>
            <w:r w:rsidRPr="007421A9">
              <w:t xml:space="preserve">Section 498E of the Residential Tenancies Act </w:t>
            </w:r>
            <w:r>
              <w:t>includes</w:t>
            </w:r>
            <w:r w:rsidRPr="007421A9">
              <w:t xml:space="preserve"> obligations </w:t>
            </w:r>
            <w:r>
              <w:t>for SDA providers when</w:t>
            </w:r>
            <w:r w:rsidRPr="007421A9">
              <w:t xml:space="preserve"> </w:t>
            </w:r>
            <w:r>
              <w:t>giving</w:t>
            </w:r>
            <w:r w:rsidRPr="007421A9">
              <w:t xml:space="preserve"> information to an SDA</w:t>
            </w:r>
            <w:r>
              <w:t xml:space="preserve"> resident.</w:t>
            </w:r>
          </w:p>
          <w:p w:rsidRPr="007421A9" w:rsidR="00C157C6" w:rsidP="00FA1D01" w:rsidRDefault="000105DB" w14:paraId="043C788F" w14:textId="4E7ABFF4">
            <w:pPr>
              <w:pStyle w:val="Tablebullet1"/>
            </w:pPr>
            <w:r>
              <w:t>If</w:t>
            </w:r>
            <w:r w:rsidRPr="007421A9">
              <w:t xml:space="preserve"> </w:t>
            </w:r>
            <w:r w:rsidRPr="007421A9" w:rsidR="007421A9">
              <w:t xml:space="preserve">an SDA residency agreement is entered </w:t>
            </w:r>
            <w:r w:rsidR="00CA246E">
              <w:t xml:space="preserve">into </w:t>
            </w:r>
            <w:r w:rsidRPr="007421A9" w:rsidR="007421A9">
              <w:t>or established, the existing residential rental agreement is taken to terminate immediately before the SDA residency agreement comes into operation.</w:t>
            </w:r>
          </w:p>
          <w:p w:rsidRPr="007421A9" w:rsidR="007421A9" w:rsidP="007421A9" w:rsidRDefault="007421A9" w14:paraId="1F65119E" w14:textId="77777777">
            <w:pPr>
              <w:jc w:val="center"/>
            </w:pPr>
          </w:p>
        </w:tc>
      </w:tr>
      <w:tr w:rsidRPr="00AF10E3" w:rsidR="00A3227B" w:rsidTr="000526DF" w14:paraId="516B097B" w14:textId="77777777">
        <w:tc>
          <w:tcPr>
            <w:tcW w:w="977" w:type="pct"/>
          </w:tcPr>
          <w:p w:rsidR="00526F69" w:rsidP="00526F69" w:rsidRDefault="00526F69" w14:paraId="3F9000EB" w14:textId="16112DD6">
            <w:pPr>
              <w:pStyle w:val="Tabletext"/>
              <w:rPr>
                <w:b/>
                <w:bCs/>
              </w:rPr>
            </w:pPr>
            <w:r>
              <w:rPr>
                <w:b/>
                <w:bCs/>
              </w:rPr>
              <w:t>SDA dwelling</w:t>
            </w:r>
          </w:p>
          <w:p w:rsidRPr="00526F69" w:rsidR="00526F69" w:rsidP="00526F69" w:rsidRDefault="00526F69" w14:paraId="744BAB4E" w14:textId="02FECF7C">
            <w:pPr>
              <w:pStyle w:val="Tabletext"/>
            </w:pPr>
            <w:r>
              <w:t xml:space="preserve">Accommodation </w:t>
            </w:r>
            <w:r w:rsidRPr="00526F69">
              <w:t>that will become an SDA dwelling from 1 July 2024</w:t>
            </w:r>
            <w:r>
              <w:t xml:space="preserve"> (other than an SDA enrolled dwelling).</w:t>
            </w:r>
          </w:p>
        </w:tc>
        <w:tc>
          <w:tcPr>
            <w:tcW w:w="808" w:type="pct"/>
          </w:tcPr>
          <w:p w:rsidR="00526F69" w:rsidP="00526F69" w:rsidRDefault="00526F69" w14:paraId="15F7BDDC" w14:textId="0BACB191">
            <w:pPr>
              <w:pStyle w:val="Tabletext"/>
            </w:pPr>
            <w:r w:rsidRPr="00A71BE1">
              <w:rPr>
                <w:b/>
                <w:bCs/>
              </w:rPr>
              <w:t>Residential rental agreement</w:t>
            </w:r>
          </w:p>
        </w:tc>
        <w:tc>
          <w:tcPr>
            <w:tcW w:w="1645" w:type="pct"/>
          </w:tcPr>
          <w:p w:rsidRPr="00526F69" w:rsidR="00526F69" w:rsidP="00526F69" w:rsidRDefault="00526F69" w14:paraId="4D74544E" w14:textId="4692E26B">
            <w:pPr>
              <w:pStyle w:val="Tablebullet1"/>
              <w:rPr>
                <w:b/>
                <w:bCs/>
              </w:rPr>
            </w:pPr>
            <w:r w:rsidRPr="00526F69">
              <w:rPr>
                <w:b/>
                <w:bCs/>
              </w:rPr>
              <w:t>Understand and comply with obligations under the Residential Tenancies Act.</w:t>
            </w:r>
          </w:p>
          <w:p w:rsidRPr="00526F69" w:rsidR="00526F69" w:rsidP="00526F69" w:rsidRDefault="00526F69" w14:paraId="02D3130D" w14:textId="77777777">
            <w:pPr>
              <w:pStyle w:val="Tablebullet1"/>
              <w:rPr>
                <w:b/>
                <w:bCs/>
              </w:rPr>
            </w:pPr>
            <w:r w:rsidRPr="00526F69">
              <w:rPr>
                <w:b/>
                <w:bCs/>
              </w:rPr>
              <w:t>Within six months from 1 July 2024:</w:t>
            </w:r>
          </w:p>
          <w:p w:rsidRPr="00CD6DE7" w:rsidR="00526F69" w:rsidP="00526F69" w:rsidRDefault="00526F69" w14:paraId="768E7D9C" w14:textId="77777777">
            <w:pPr>
              <w:pStyle w:val="Tablebullet2"/>
            </w:pPr>
            <w:r w:rsidRPr="00CD6DE7">
              <w:t xml:space="preserve">give </w:t>
            </w:r>
            <w:r>
              <w:t>each</w:t>
            </w:r>
            <w:r w:rsidRPr="00CD6DE7">
              <w:t xml:space="preserve"> SDA resident an information statement in the approved form; and</w:t>
            </w:r>
          </w:p>
          <w:p w:rsidRPr="00CD6DE7" w:rsidR="00526F69" w:rsidP="00526F69" w:rsidRDefault="00526F69" w14:paraId="5375CA1A" w14:textId="77777777">
            <w:pPr>
              <w:pStyle w:val="Tablebullet2"/>
            </w:pPr>
            <w:r w:rsidRPr="00CD6DE7">
              <w:t xml:space="preserve">offer </w:t>
            </w:r>
            <w:r>
              <w:t>each</w:t>
            </w:r>
            <w:r w:rsidRPr="00CD6DE7">
              <w:t xml:space="preserve"> SDA resident the choice to </w:t>
            </w:r>
            <w:proofErr w:type="gramStart"/>
            <w:r w:rsidRPr="00CD6DE7">
              <w:t>enter into</w:t>
            </w:r>
            <w:proofErr w:type="gramEnd"/>
            <w:r w:rsidRPr="00CD6DE7">
              <w:t xml:space="preserve"> or establish an SDA residency agreement with the SDA provider.</w:t>
            </w:r>
          </w:p>
          <w:p w:rsidRPr="00526F69" w:rsidR="00526F69" w:rsidP="00526F69" w:rsidRDefault="000105DB" w14:paraId="68D71EBC" w14:textId="067636CF">
            <w:pPr>
              <w:pStyle w:val="Tablebullet1"/>
              <w:rPr>
                <w:b/>
                <w:bCs/>
              </w:rPr>
            </w:pPr>
            <w:r>
              <w:rPr>
                <w:b/>
                <w:bCs/>
              </w:rPr>
              <w:t>If</w:t>
            </w:r>
            <w:r w:rsidRPr="00526F69" w:rsidR="00526F69">
              <w:rPr>
                <w:b/>
                <w:bCs/>
              </w:rPr>
              <w:t xml:space="preserve"> an SDA residency agreement is entered</w:t>
            </w:r>
            <w:r w:rsidR="00CA246E">
              <w:rPr>
                <w:b/>
                <w:bCs/>
              </w:rPr>
              <w:t xml:space="preserve"> into</w:t>
            </w:r>
            <w:r w:rsidRPr="00526F69" w:rsidR="00526F69">
              <w:rPr>
                <w:b/>
                <w:bCs/>
              </w:rPr>
              <w:t xml:space="preserve"> or established:</w:t>
            </w:r>
          </w:p>
          <w:p w:rsidRPr="00CD6DE7" w:rsidR="00526F69" w:rsidP="00526F69" w:rsidRDefault="00526F69" w14:paraId="1FC30397" w14:textId="77777777">
            <w:pPr>
              <w:pStyle w:val="Tablebullet2"/>
            </w:pPr>
            <w:r w:rsidRPr="00CD6DE7">
              <w:t>notify Consumer Affairs Victoria in writing within 14 days; and</w:t>
            </w:r>
          </w:p>
          <w:p w:rsidR="00526F69" w:rsidP="00383DC1" w:rsidRDefault="00526F69" w14:paraId="5C3B5166" w14:textId="176D83E9">
            <w:pPr>
              <w:pStyle w:val="Tablebullet2"/>
            </w:pPr>
            <w:r w:rsidRPr="00CD6DE7">
              <w:t>give a copy of the SDA residency agreement to the SDA resident and their guardian or administrator (as applicable).</w:t>
            </w:r>
          </w:p>
        </w:tc>
        <w:tc>
          <w:tcPr>
            <w:tcW w:w="1570" w:type="pct"/>
          </w:tcPr>
          <w:p w:rsidR="00526F69" w:rsidP="00526F69" w:rsidRDefault="00526F69" w14:paraId="5F6A4321" w14:textId="77777777">
            <w:pPr>
              <w:pStyle w:val="Tablebullet1"/>
            </w:pPr>
            <w:r>
              <w:t>It is an offence not to comply with these transitional obligations.</w:t>
            </w:r>
          </w:p>
          <w:p w:rsidR="00526F69" w:rsidP="00526F69" w:rsidRDefault="00526F69" w14:paraId="0A9E3FC1" w14:textId="77777777">
            <w:pPr>
              <w:pStyle w:val="Tablebullet1"/>
            </w:pPr>
            <w:r w:rsidRPr="007421A9">
              <w:t xml:space="preserve">Section 498E of the Residential Tenancies Act </w:t>
            </w:r>
            <w:r>
              <w:t>includes</w:t>
            </w:r>
            <w:r w:rsidRPr="007421A9">
              <w:t xml:space="preserve"> obligations </w:t>
            </w:r>
            <w:r>
              <w:t>for SDA providers when</w:t>
            </w:r>
            <w:r w:rsidRPr="007421A9">
              <w:t xml:space="preserve"> </w:t>
            </w:r>
            <w:r>
              <w:t>giving</w:t>
            </w:r>
            <w:r w:rsidRPr="007421A9">
              <w:t xml:space="preserve"> information to an SDA</w:t>
            </w:r>
            <w:r>
              <w:t xml:space="preserve"> resident.</w:t>
            </w:r>
          </w:p>
          <w:p w:rsidRPr="007421A9" w:rsidR="00526F69" w:rsidP="00526F69" w:rsidRDefault="000105DB" w14:paraId="74007EC4" w14:textId="3801C361">
            <w:pPr>
              <w:pStyle w:val="Tablebullet1"/>
            </w:pPr>
            <w:r>
              <w:t xml:space="preserve">If </w:t>
            </w:r>
            <w:r w:rsidRPr="007421A9" w:rsidR="00526F69">
              <w:t xml:space="preserve">an SDA residency agreement is entered </w:t>
            </w:r>
            <w:r w:rsidR="00E51206">
              <w:t xml:space="preserve">into </w:t>
            </w:r>
            <w:r w:rsidRPr="007421A9" w:rsidR="00526F69">
              <w:t>or established, the existing residential rental agreement is taken to terminate immediately before the SDA residency agreement comes into operation.</w:t>
            </w:r>
          </w:p>
          <w:p w:rsidR="00526F69" w:rsidP="00526F69" w:rsidRDefault="00526F69" w14:paraId="48D29355" w14:textId="77777777">
            <w:pPr>
              <w:pStyle w:val="Tabletext"/>
            </w:pPr>
          </w:p>
        </w:tc>
      </w:tr>
      <w:tr w:rsidRPr="00AF10E3" w:rsidR="00983F00" w:rsidTr="000526DF" w14:paraId="360915F6" w14:textId="77777777">
        <w:tc>
          <w:tcPr>
            <w:tcW w:w="977" w:type="pct"/>
          </w:tcPr>
          <w:p w:rsidRPr="00526F69" w:rsidR="00526F69" w:rsidRDefault="00042EBE" w14:paraId="5F8E1453" w14:textId="2C18209F">
            <w:pPr>
              <w:pStyle w:val="Tabletext"/>
              <w:rPr>
                <w:b/>
                <w:bCs/>
              </w:rPr>
            </w:pPr>
            <w:r w:rsidRPr="00526F69">
              <w:rPr>
                <w:b/>
                <w:bCs/>
              </w:rPr>
              <w:t xml:space="preserve">Group home </w:t>
            </w:r>
          </w:p>
          <w:p w:rsidRPr="00526F69" w:rsidR="00C157C6" w:rsidRDefault="00526F69" w14:paraId="79BD2776" w14:textId="367C9FD1">
            <w:pPr>
              <w:pStyle w:val="Tabletext"/>
            </w:pPr>
            <w:r w:rsidRPr="00526F69">
              <w:t xml:space="preserve">Accommodation </w:t>
            </w:r>
            <w:r w:rsidRPr="00526F69" w:rsidR="00042EBE">
              <w:t>operated as a residential</w:t>
            </w:r>
            <w:r>
              <w:t xml:space="preserve"> </w:t>
            </w:r>
            <w:r w:rsidRPr="00526F69" w:rsidR="00042EBE">
              <w:t xml:space="preserve">service under the </w:t>
            </w:r>
            <w:r w:rsidRPr="00526F69" w:rsidR="00042EBE">
              <w:rPr>
                <w:i/>
                <w:iCs/>
              </w:rPr>
              <w:t>Disability Act 2006</w:t>
            </w:r>
            <w:r w:rsidRPr="00526F69">
              <w:t>.</w:t>
            </w:r>
          </w:p>
        </w:tc>
        <w:tc>
          <w:tcPr>
            <w:tcW w:w="808" w:type="pct"/>
          </w:tcPr>
          <w:p w:rsidRPr="00FA1D01" w:rsidR="00C157C6" w:rsidRDefault="00FA1D01" w14:paraId="689FD26D" w14:textId="460A766D">
            <w:pPr>
              <w:pStyle w:val="Tabletext"/>
              <w:rPr>
                <w:b/>
                <w:bCs/>
              </w:rPr>
            </w:pPr>
            <w:r w:rsidRPr="00FA1D01">
              <w:rPr>
                <w:b/>
                <w:bCs/>
              </w:rPr>
              <w:t>Residential statement</w:t>
            </w:r>
          </w:p>
        </w:tc>
        <w:tc>
          <w:tcPr>
            <w:tcW w:w="1645" w:type="pct"/>
          </w:tcPr>
          <w:p w:rsidRPr="00383DC1" w:rsidR="00383DC1" w:rsidP="00383DC1" w:rsidRDefault="00383DC1" w14:paraId="17F2D9EA" w14:textId="0C04EC3B">
            <w:pPr>
              <w:pStyle w:val="Tablebullet1"/>
              <w:rPr>
                <w:b/>
                <w:bCs/>
              </w:rPr>
            </w:pPr>
            <w:r w:rsidRPr="00526F69">
              <w:rPr>
                <w:b/>
                <w:bCs/>
              </w:rPr>
              <w:t>Understand and comply with obligations under the Residential Tenancies Act.</w:t>
            </w:r>
          </w:p>
          <w:p w:rsidRPr="00526F69" w:rsidR="00526F69" w:rsidP="00526F69" w:rsidRDefault="00526F69" w14:paraId="46CB1860" w14:textId="36EF5DEB">
            <w:pPr>
              <w:pStyle w:val="Tablebullet1"/>
              <w:rPr>
                <w:b/>
                <w:bCs/>
              </w:rPr>
            </w:pPr>
            <w:r w:rsidRPr="00526F69">
              <w:rPr>
                <w:b/>
                <w:bCs/>
              </w:rPr>
              <w:t>Note that on and from 1 July 2024:</w:t>
            </w:r>
          </w:p>
          <w:p w:rsidR="00526F69" w:rsidP="00526F69" w:rsidRDefault="00526F69" w14:paraId="78730113" w14:textId="01E9AE30">
            <w:pPr>
              <w:pStyle w:val="Tablebullet2"/>
            </w:pPr>
            <w:r>
              <w:t>a group home that was operated as a residential service under the Disability Act will become an SDA dwelling</w:t>
            </w:r>
          </w:p>
          <w:p w:rsidR="00526F69" w:rsidP="00526F69" w:rsidRDefault="00526F69" w14:paraId="6EFD2CD0" w14:textId="3E6A4A9A">
            <w:pPr>
              <w:pStyle w:val="Tablebullet2"/>
            </w:pPr>
            <w:r>
              <w:t>a resident of that group home will become an SDA resident</w:t>
            </w:r>
          </w:p>
          <w:p w:rsidR="00526F69" w:rsidP="00526F69" w:rsidRDefault="00526F69" w14:paraId="01AD0B99" w14:textId="7C98E265">
            <w:pPr>
              <w:pStyle w:val="Tablebullet2"/>
            </w:pPr>
            <w:r>
              <w:t>the provider operating that group home will become an SDA provider</w:t>
            </w:r>
          </w:p>
          <w:p w:rsidR="00526F69" w:rsidP="00526F69" w:rsidRDefault="00526F69" w14:paraId="66A28C93" w14:textId="30A2F531">
            <w:pPr>
              <w:pStyle w:val="Tablebullet2"/>
            </w:pPr>
            <w:r>
              <w:t>a residential statement given to a resident prior to 1 July 2024 will be deemed to be an SDA residency agreement</w:t>
            </w:r>
          </w:p>
          <w:p w:rsidR="00526F69" w:rsidP="00526F69" w:rsidRDefault="00526F69" w14:paraId="04F7D2C1" w14:textId="42A51095">
            <w:pPr>
              <w:pStyle w:val="Tablebullet2"/>
            </w:pPr>
            <w:r>
              <w:t>the term of the deemed SDA residency agreement will be for the period of the residential statement</w:t>
            </w:r>
          </w:p>
          <w:p w:rsidR="00526F69" w:rsidP="00526F69" w:rsidRDefault="00526F69" w14:paraId="325CD715" w14:textId="1B333DE5">
            <w:pPr>
              <w:pStyle w:val="Tablebullet2"/>
            </w:pPr>
            <w:r>
              <w:t>the rent and services components of the residential charge specified in the residential statement will be the rent and utilities charges, respectively, for the purposes of the deemed SDA residency agreement.</w:t>
            </w:r>
          </w:p>
          <w:p w:rsidRPr="00526F69" w:rsidR="00526F69" w:rsidP="00526F69" w:rsidRDefault="00526F69" w14:paraId="5BEA0FF7" w14:textId="77777777">
            <w:pPr>
              <w:pStyle w:val="Tablebullet1"/>
              <w:rPr>
                <w:b/>
                <w:bCs/>
              </w:rPr>
            </w:pPr>
            <w:r w:rsidRPr="00526F69">
              <w:rPr>
                <w:b/>
                <w:bCs/>
              </w:rPr>
              <w:t>Within six months from 1 July 2024:</w:t>
            </w:r>
          </w:p>
          <w:p w:rsidR="00526F69" w:rsidP="00526F69" w:rsidRDefault="00526F69" w14:paraId="79E28BE7" w14:textId="00B73DB0">
            <w:pPr>
              <w:pStyle w:val="Tablebullet2"/>
            </w:pPr>
            <w:r>
              <w:t>give each SDA resident an information statement in the approved form.</w:t>
            </w:r>
          </w:p>
          <w:p w:rsidRPr="00526F69" w:rsidR="00526F69" w:rsidP="00526F69" w:rsidRDefault="00526F69" w14:paraId="5D9157CF" w14:textId="71DB69DC">
            <w:pPr>
              <w:pStyle w:val="Tablebullet1"/>
              <w:rPr>
                <w:b/>
                <w:bCs/>
              </w:rPr>
            </w:pPr>
            <w:r w:rsidRPr="00526F69">
              <w:rPr>
                <w:b/>
                <w:bCs/>
              </w:rPr>
              <w:t>Prior to the end</w:t>
            </w:r>
            <w:r w:rsidR="00A74AFC">
              <w:rPr>
                <w:b/>
                <w:bCs/>
              </w:rPr>
              <w:t xml:space="preserve"> of</w:t>
            </w:r>
            <w:r w:rsidRPr="00526F69">
              <w:rPr>
                <w:b/>
                <w:bCs/>
              </w:rPr>
              <w:t xml:space="preserve"> the SDA residency agreement, and as soon as practical after providing the information statement, make all reasonable efforts to:</w:t>
            </w:r>
          </w:p>
          <w:p w:rsidR="00526F69" w:rsidP="00526F69" w:rsidRDefault="00526F69" w14:paraId="360517F0" w14:textId="0EABBFC2">
            <w:pPr>
              <w:pStyle w:val="Tablebullet2"/>
            </w:pPr>
            <w:proofErr w:type="gramStart"/>
            <w:r>
              <w:t xml:space="preserve">enter </w:t>
            </w:r>
            <w:r w:rsidR="00E51206">
              <w:t>into</w:t>
            </w:r>
            <w:proofErr w:type="gramEnd"/>
            <w:r w:rsidR="00E51206">
              <w:t xml:space="preserve"> </w:t>
            </w:r>
            <w:r>
              <w:t>or establish an SDA residency agreement with the SDA resident</w:t>
            </w:r>
            <w:r w:rsidR="00E51206">
              <w:t>, or</w:t>
            </w:r>
          </w:p>
          <w:p w:rsidR="00526F69" w:rsidP="00526F69" w:rsidRDefault="00526F69" w14:paraId="55F96123" w14:textId="79A9DF00">
            <w:pPr>
              <w:pStyle w:val="Tablebullet2"/>
            </w:pPr>
            <w:r>
              <w:t>enter into a residential rental agreement with</w:t>
            </w:r>
            <w:r w:rsidR="00E51206">
              <w:t xml:space="preserve"> the</w:t>
            </w:r>
            <w:r>
              <w:t xml:space="preserve"> SDA resident.</w:t>
            </w:r>
          </w:p>
          <w:p w:rsidRPr="00526F69" w:rsidR="00526F69" w:rsidP="00526F69" w:rsidRDefault="000105DB" w14:paraId="2844D5C6" w14:textId="42873F3A">
            <w:pPr>
              <w:pStyle w:val="Tablebullet1"/>
              <w:rPr>
                <w:b/>
                <w:bCs/>
              </w:rPr>
            </w:pPr>
            <w:r>
              <w:rPr>
                <w:b/>
                <w:bCs/>
              </w:rPr>
              <w:t>If</w:t>
            </w:r>
            <w:r w:rsidRPr="00526F69">
              <w:rPr>
                <w:b/>
                <w:bCs/>
              </w:rPr>
              <w:t xml:space="preserve"> </w:t>
            </w:r>
            <w:r w:rsidRPr="00526F69" w:rsidR="00526F69">
              <w:rPr>
                <w:b/>
                <w:bCs/>
              </w:rPr>
              <w:t>an SDA residency agreement is entered or established:</w:t>
            </w:r>
          </w:p>
          <w:p w:rsidRPr="00CD6DE7" w:rsidR="00526F69" w:rsidP="00526F69" w:rsidRDefault="00526F69" w14:paraId="73C9C37A" w14:textId="77777777">
            <w:pPr>
              <w:pStyle w:val="Tablebullet2"/>
            </w:pPr>
            <w:r w:rsidRPr="00CD6DE7">
              <w:t>notify Consumer Affairs Victoria in writing within 14 days; and</w:t>
            </w:r>
          </w:p>
          <w:p w:rsidR="00C157C6" w:rsidP="00526F69" w:rsidRDefault="00526F69" w14:paraId="5658837A" w14:textId="1E5D0227">
            <w:pPr>
              <w:pStyle w:val="Tablebullet2"/>
            </w:pPr>
            <w:r w:rsidRPr="00CD6DE7">
              <w:t>give a copy of the SDA residency agreement to the SDA resident and their guardian or administrator (as applicable).</w:t>
            </w:r>
          </w:p>
        </w:tc>
        <w:tc>
          <w:tcPr>
            <w:tcW w:w="1570" w:type="pct"/>
          </w:tcPr>
          <w:p w:rsidR="008F3581" w:rsidP="008F3581" w:rsidRDefault="008F3581" w14:paraId="1BC09922" w14:textId="77777777">
            <w:pPr>
              <w:pStyle w:val="Tablebullet1"/>
            </w:pPr>
            <w:r>
              <w:t>It is an offence not to comply with these transitional obligations.</w:t>
            </w:r>
          </w:p>
          <w:p w:rsidR="008F3581" w:rsidP="008F3581" w:rsidRDefault="008F3581" w14:paraId="0EE9269B" w14:textId="182DAFB9">
            <w:pPr>
              <w:pStyle w:val="Tablebullet1"/>
            </w:pPr>
            <w:r>
              <w:t>From 1 July 2024, group homes will no longer be regulated as residential services under the Disability Act.</w:t>
            </w:r>
          </w:p>
          <w:p w:rsidR="008F3581" w:rsidP="008F3581" w:rsidRDefault="008F3581" w14:paraId="217AC3E1" w14:textId="18A32F76">
            <w:pPr>
              <w:pStyle w:val="Tablebullet1"/>
            </w:pPr>
            <w:r>
              <w:t>If a disability service provider operating a group home is not the owner or leaseholder of the group home, the owner or leaseholder of the group home immediately before 1 July 2024 is taken on and from 1 July 2024, to be an SDA provider until the provider enters into an SDA residency agreement or residential rental agreement.</w:t>
            </w:r>
          </w:p>
          <w:p w:rsidR="00C157C6" w:rsidP="008F3581" w:rsidRDefault="008F3581" w14:paraId="765F0328" w14:textId="55E86D95">
            <w:pPr>
              <w:pStyle w:val="Tablebullet1"/>
            </w:pPr>
            <w:r w:rsidRPr="007421A9">
              <w:t xml:space="preserve">Section 498E of the Residential Tenancies Act </w:t>
            </w:r>
            <w:r>
              <w:t>includes</w:t>
            </w:r>
            <w:r w:rsidRPr="007421A9">
              <w:t xml:space="preserve"> obligations </w:t>
            </w:r>
            <w:r>
              <w:t>for SDA providers when</w:t>
            </w:r>
            <w:r w:rsidRPr="007421A9">
              <w:t xml:space="preserve"> </w:t>
            </w:r>
            <w:r>
              <w:t>giving</w:t>
            </w:r>
            <w:r w:rsidRPr="007421A9">
              <w:t xml:space="preserve"> information to an SDA</w:t>
            </w:r>
            <w:r>
              <w:t xml:space="preserve"> resident.</w:t>
            </w:r>
          </w:p>
        </w:tc>
      </w:tr>
    </w:tbl>
    <w:p w:rsidR="0003711E" w:rsidP="00EC6960" w:rsidRDefault="0003711E" w14:paraId="617EDE29" w14:textId="0C1C09FD">
      <w:pPr>
        <w:pStyle w:val="Heading1"/>
        <w:numPr>
          <w:ilvl w:val="0"/>
          <w:numId w:val="0"/>
        </w:numPr>
      </w:pPr>
      <w:bookmarkStart w:name="_Appendix_3:_Case" w:id="75"/>
      <w:bookmarkStart w:name="_Appendix_3:_Case_1" w:id="76"/>
      <w:bookmarkStart w:name="_Ref164851092" w:id="77"/>
      <w:bookmarkStart w:name="_Toc166852420" w:id="78"/>
      <w:bookmarkEnd w:id="75"/>
      <w:bookmarkEnd w:id="76"/>
      <w:r>
        <w:t xml:space="preserve">Appendix </w:t>
      </w:r>
      <w:r w:rsidR="00E152FC">
        <w:t>3</w:t>
      </w:r>
      <w:r>
        <w:t xml:space="preserve">: </w:t>
      </w:r>
      <w:r w:rsidR="001F57B2">
        <w:t>Case studies</w:t>
      </w:r>
      <w:bookmarkEnd w:id="77"/>
      <w:bookmarkEnd w:id="78"/>
    </w:p>
    <w:p w:rsidR="00F6533B" w:rsidP="00F6533B" w:rsidRDefault="00F6533B" w14:paraId="731F8522" w14:textId="7C02FCE3">
      <w:pPr>
        <w:pStyle w:val="Body"/>
      </w:pPr>
      <w:r>
        <w:t xml:space="preserve">The following case studies are fictional examples of how the new rules in the Residential Tenancies Act may apply to different types of disability accommodation and support arrangements. </w:t>
      </w:r>
    </w:p>
    <w:p w:rsidR="0003711E" w:rsidP="003F5FCD" w:rsidRDefault="00556DF6" w14:paraId="5EB21589" w14:textId="21260E7C">
      <w:pPr>
        <w:pStyle w:val="Heading2"/>
      </w:pPr>
      <w:bookmarkStart w:name="_Toc166852421" w:id="79"/>
      <w:r>
        <w:t>Case study</w:t>
      </w:r>
      <w:r w:rsidR="0003711E">
        <w:t xml:space="preserve"> 1</w:t>
      </w:r>
      <w:r w:rsidR="00B32B3B">
        <w:t xml:space="preserve"> – </w:t>
      </w:r>
      <w:r w:rsidR="000700B0">
        <w:t>NDIS SIL accommodation</w:t>
      </w:r>
      <w:r w:rsidR="00C94F3F">
        <w:t xml:space="preserve"> under residential rental agreement</w:t>
      </w:r>
      <w:bookmarkEnd w:id="79"/>
    </w:p>
    <w:p w:rsidR="001919F1" w:rsidP="001919F1" w:rsidRDefault="000B7599" w14:paraId="2478C50D" w14:textId="3166F5B1">
      <w:pPr>
        <w:pStyle w:val="Heading3"/>
      </w:pPr>
      <w:bookmarkStart w:name="_Toc166852422" w:id="80"/>
      <w:r>
        <w:t>Summary</w:t>
      </w:r>
      <w:bookmarkEnd w:id="80"/>
    </w:p>
    <w:p w:rsidRPr="00504E99" w:rsidR="0003711E" w:rsidP="00504E99" w:rsidRDefault="0003711E" w14:paraId="70F1150A" w14:textId="11B8FC33">
      <w:pPr>
        <w:pStyle w:val="Body"/>
      </w:pPr>
      <w:r w:rsidRPr="00504E99">
        <w:t xml:space="preserve">Ruby Disability Services is an NDIS </w:t>
      </w:r>
      <w:r w:rsidRPr="00504E99" w:rsidR="00C85ED0">
        <w:t>SIL provider</w:t>
      </w:r>
      <w:r w:rsidRPr="00504E99">
        <w:t>.</w:t>
      </w:r>
    </w:p>
    <w:p w:rsidRPr="00504E99" w:rsidR="001919F1" w:rsidP="00504E99" w:rsidRDefault="001919F1" w14:paraId="7CD8DCA8" w14:textId="2C03DF28">
      <w:pPr>
        <w:pStyle w:val="Body"/>
      </w:pPr>
      <w:r w:rsidRPr="00504E99">
        <w:t xml:space="preserve">Ruby Disability Services </w:t>
      </w:r>
      <w:r w:rsidRPr="00504E99" w:rsidR="0003711E">
        <w:t>owns a</w:t>
      </w:r>
      <w:r w:rsidR="007C2B02">
        <w:t>n established</w:t>
      </w:r>
      <w:r w:rsidRPr="00504E99" w:rsidR="0003711E">
        <w:t xml:space="preserve"> </w:t>
      </w:r>
      <w:r w:rsidR="00A341C8">
        <w:t>four-bedroom</w:t>
      </w:r>
      <w:r w:rsidRPr="00504E99" w:rsidR="0003711E">
        <w:t xml:space="preserve"> </w:t>
      </w:r>
      <w:r w:rsidR="007C2B02">
        <w:t>house</w:t>
      </w:r>
      <w:r w:rsidRPr="00504E99" w:rsidR="0003711E">
        <w:t xml:space="preserve"> which it rents </w:t>
      </w:r>
      <w:r w:rsidR="00C54371">
        <w:t xml:space="preserve">directly </w:t>
      </w:r>
      <w:r w:rsidRPr="00504E99" w:rsidR="0003711E">
        <w:t xml:space="preserve">to </w:t>
      </w:r>
      <w:r w:rsidRPr="00504E99">
        <w:t>four</w:t>
      </w:r>
      <w:r w:rsidRPr="00504E99" w:rsidR="0003711E">
        <w:t xml:space="preserve"> people with disability under a residential rental agreement</w:t>
      </w:r>
      <w:r w:rsidRPr="00504E99" w:rsidR="007D4497">
        <w:t>.</w:t>
      </w:r>
      <w:r w:rsidR="00D86567">
        <w:t xml:space="preserve"> Each resident is listed as a renter on the </w:t>
      </w:r>
      <w:r w:rsidRPr="00504E99" w:rsidR="00D86567">
        <w:t>residential rental agreement</w:t>
      </w:r>
      <w:r w:rsidR="00D86567">
        <w:t>.</w:t>
      </w:r>
    </w:p>
    <w:p w:rsidR="0003711E" w:rsidP="00504E99" w:rsidRDefault="007D4497" w14:paraId="6BC10C87" w14:textId="1F574DBC">
      <w:pPr>
        <w:pStyle w:val="Body"/>
      </w:pPr>
      <w:r w:rsidRPr="00504E99">
        <w:t>Each</w:t>
      </w:r>
      <w:r w:rsidRPr="00504E99" w:rsidR="0003711E">
        <w:t xml:space="preserve"> resident </w:t>
      </w:r>
      <w:r w:rsidRPr="00504E99">
        <w:t>has</w:t>
      </w:r>
      <w:r w:rsidRPr="00504E99" w:rsidR="0003711E">
        <w:t xml:space="preserve"> lived at the </w:t>
      </w:r>
      <w:r w:rsidR="006753CE">
        <w:t>accommodation</w:t>
      </w:r>
      <w:r w:rsidRPr="00504E99" w:rsidR="0003711E">
        <w:t xml:space="preserve"> for </w:t>
      </w:r>
      <w:r w:rsidRPr="00504E99" w:rsidR="001919F1">
        <w:t>some time</w:t>
      </w:r>
      <w:r w:rsidRPr="00504E99" w:rsidR="0003711E">
        <w:t xml:space="preserve"> and </w:t>
      </w:r>
      <w:r w:rsidR="006753CE">
        <w:t>intend</w:t>
      </w:r>
      <w:r w:rsidR="00B72117">
        <w:t>s</w:t>
      </w:r>
      <w:r w:rsidRPr="00504E99">
        <w:t xml:space="preserve"> to continue living at the property</w:t>
      </w:r>
      <w:r w:rsidRPr="00504E99" w:rsidR="004612C9">
        <w:t>.</w:t>
      </w:r>
    </w:p>
    <w:p w:rsidRPr="00504E99" w:rsidR="007D4497" w:rsidP="00504E99" w:rsidRDefault="0003711E" w14:paraId="60A93161" w14:textId="7915FCF4">
      <w:pPr>
        <w:pStyle w:val="Body"/>
      </w:pPr>
      <w:r w:rsidRPr="00504E99">
        <w:t xml:space="preserve">All residents </w:t>
      </w:r>
      <w:r w:rsidRPr="00504E99" w:rsidR="007D4497">
        <w:t>access</w:t>
      </w:r>
      <w:r w:rsidRPr="00504E99">
        <w:t xml:space="preserve"> </w:t>
      </w:r>
      <w:r w:rsidR="00F00E91">
        <w:t>daily independent living</w:t>
      </w:r>
      <w:r w:rsidRPr="00504E99">
        <w:t xml:space="preserve"> supports at the </w:t>
      </w:r>
      <w:r w:rsidR="006753CE">
        <w:t>accommodation</w:t>
      </w:r>
      <w:r w:rsidRPr="00504E99">
        <w:t xml:space="preserve"> </w:t>
      </w:r>
      <w:r w:rsidR="00504E99">
        <w:t xml:space="preserve">from </w:t>
      </w:r>
      <w:r w:rsidRPr="00504E99" w:rsidR="00504E99">
        <w:t>Ruby Disability</w:t>
      </w:r>
      <w:r w:rsidR="00D30C64">
        <w:t xml:space="preserve"> </w:t>
      </w:r>
      <w:r w:rsidRPr="00504E99" w:rsidR="00A341C8">
        <w:t>Services,</w:t>
      </w:r>
      <w:r w:rsidRPr="00504E99" w:rsidR="00504E99">
        <w:t xml:space="preserve"> </w:t>
      </w:r>
      <w:r w:rsidRPr="00504E99">
        <w:t xml:space="preserve">but </w:t>
      </w:r>
      <w:r w:rsidR="00504E99">
        <w:t xml:space="preserve">they </w:t>
      </w:r>
      <w:r w:rsidRPr="00504E99">
        <w:t>are not eligible for NDIS SDA funding.</w:t>
      </w:r>
    </w:p>
    <w:p w:rsidRPr="00504E99" w:rsidR="007D4497" w:rsidP="00504E99" w:rsidRDefault="007D4497" w14:paraId="0D28C7EE" w14:textId="1452923B">
      <w:pPr>
        <w:pStyle w:val="Body"/>
      </w:pPr>
      <w:r w:rsidRPr="00504E99">
        <w:t xml:space="preserve">The </w:t>
      </w:r>
      <w:r w:rsidR="006753CE">
        <w:t>accommodation</w:t>
      </w:r>
      <w:r w:rsidRPr="00504E99">
        <w:t xml:space="preserve"> is not enrolled with the NDIS as SDA.</w:t>
      </w:r>
    </w:p>
    <w:p w:rsidR="007D4497" w:rsidP="007D4497" w:rsidRDefault="007D4497" w14:paraId="7ECC712A" w14:textId="5E3E647F">
      <w:pPr>
        <w:pStyle w:val="Heading3"/>
      </w:pPr>
      <w:bookmarkStart w:name="_Toc166852423" w:id="81"/>
      <w:r>
        <w:t>What the changes mean for this provider</w:t>
      </w:r>
      <w:bookmarkEnd w:id="81"/>
    </w:p>
    <w:p w:rsidR="00334F8A" w:rsidP="00114FF3" w:rsidRDefault="007D4497" w14:paraId="0B7274D2" w14:textId="797C8797">
      <w:pPr>
        <w:pStyle w:val="Bullet1"/>
        <w:numPr>
          <w:ilvl w:val="0"/>
          <w:numId w:val="0"/>
        </w:numPr>
      </w:pPr>
      <w:r>
        <w:t>F</w:t>
      </w:r>
      <w:r w:rsidR="001919F1">
        <w:t>rom 1 July 2024</w:t>
      </w:r>
      <w:r w:rsidR="006753CE">
        <w:t>,</w:t>
      </w:r>
      <w:r>
        <w:t xml:space="preserve"> the</w:t>
      </w:r>
      <w:r w:rsidR="001919F1">
        <w:t xml:space="preserve"> </w:t>
      </w:r>
      <w:r w:rsidRPr="00755E60" w:rsidR="001919F1">
        <w:t xml:space="preserve">property </w:t>
      </w:r>
      <w:r w:rsidRPr="00C56E95" w:rsidR="00AA1C54">
        <w:t>is likely to</w:t>
      </w:r>
      <w:r w:rsidRPr="00C56E95" w:rsidR="001919F1">
        <w:t xml:space="preserve"> </w:t>
      </w:r>
      <w:r w:rsidRPr="00C56E95" w:rsidR="006753CE">
        <w:t>be</w:t>
      </w:r>
      <w:r w:rsidRPr="00C56E95" w:rsidR="00D30C64">
        <w:t>come</w:t>
      </w:r>
      <w:r w:rsidRPr="00C56E95" w:rsidR="002F0B89">
        <w:t xml:space="preserve"> an </w:t>
      </w:r>
      <w:r w:rsidRPr="00C56E95" w:rsidR="001919F1">
        <w:t>SDA dwelling</w:t>
      </w:r>
      <w:r w:rsidR="00A21EAF">
        <w:t xml:space="preserve"> under the Residential Tenancies Act</w:t>
      </w:r>
      <w:r w:rsidRPr="00D30C64" w:rsidR="00755E60">
        <w:t>.</w:t>
      </w:r>
      <w:r w:rsidR="00C54371">
        <w:t xml:space="preserve"> </w:t>
      </w:r>
      <w:r w:rsidR="00D30C64">
        <w:t>T</w:t>
      </w:r>
      <w:r w:rsidRPr="00755E60" w:rsidR="00D30C64">
        <w:t xml:space="preserve">he provider </w:t>
      </w:r>
      <w:r w:rsidR="00D30C64">
        <w:t>would</w:t>
      </w:r>
      <w:r w:rsidRPr="00755E60" w:rsidR="00D30C64">
        <w:t xml:space="preserve"> become an </w:t>
      </w:r>
      <w:r w:rsidRPr="00D30C64" w:rsidR="00D30C64">
        <w:t>SDA provider and</w:t>
      </w:r>
      <w:r w:rsidRPr="00755E60" w:rsidR="00D30C64">
        <w:t xml:space="preserve"> each resident </w:t>
      </w:r>
      <w:r w:rsidR="00D30C64">
        <w:t>would</w:t>
      </w:r>
      <w:r w:rsidRPr="00755E60" w:rsidR="00D30C64">
        <w:t xml:space="preserve"> </w:t>
      </w:r>
      <w:r w:rsidRPr="00D30C64" w:rsidR="00D30C64">
        <w:t>become an SDA resident.</w:t>
      </w:r>
      <w:r w:rsidR="00D30C64">
        <w:t xml:space="preserve"> </w:t>
      </w:r>
    </w:p>
    <w:p w:rsidR="007D4497" w:rsidP="00114FF3" w:rsidRDefault="007D4497" w14:paraId="51ABB0DF" w14:textId="7D60F3B5">
      <w:pPr>
        <w:pStyle w:val="Bullet1"/>
        <w:numPr>
          <w:ilvl w:val="0"/>
          <w:numId w:val="0"/>
        </w:numPr>
      </w:pPr>
      <w:r w:rsidRPr="00D30C64">
        <w:t>This</w:t>
      </w:r>
      <w:r>
        <w:t xml:space="preserve"> is because:</w:t>
      </w:r>
    </w:p>
    <w:p w:rsidR="00C54371" w:rsidP="006753CE" w:rsidRDefault="00367EC8" w14:paraId="549E2DB3" w14:textId="6244C9D2">
      <w:pPr>
        <w:pStyle w:val="Bullet1"/>
      </w:pPr>
      <w:r>
        <w:t xml:space="preserve">the </w:t>
      </w:r>
      <w:r w:rsidR="00BE75ED">
        <w:t>accommodation</w:t>
      </w:r>
      <w:r>
        <w:t xml:space="preserve"> is permanent</w:t>
      </w:r>
    </w:p>
    <w:p w:rsidR="00367EC8" w:rsidP="006753CE" w:rsidRDefault="00C54371" w14:paraId="079EB1D7" w14:textId="58511FBB">
      <w:pPr>
        <w:pStyle w:val="Bullet1"/>
      </w:pPr>
      <w:r>
        <w:t>the accommodation is long term</w:t>
      </w:r>
    </w:p>
    <w:p w:rsidR="00C54371" w:rsidP="006753CE" w:rsidRDefault="006753CE" w14:paraId="4F2C93E8" w14:textId="77777777">
      <w:pPr>
        <w:pStyle w:val="Bullet1"/>
      </w:pPr>
      <w:r>
        <w:t>each resident is a person with disability</w:t>
      </w:r>
    </w:p>
    <w:p w:rsidR="00C54371" w:rsidP="003114C4" w:rsidRDefault="006753CE" w14:paraId="02FF90CE" w14:textId="29DCC188">
      <w:pPr>
        <w:pStyle w:val="Bullet1"/>
      </w:pPr>
      <w:r>
        <w:t xml:space="preserve">daily independent living support is provided to </w:t>
      </w:r>
      <w:r w:rsidR="00BE75ED">
        <w:t xml:space="preserve">one or more </w:t>
      </w:r>
      <w:r>
        <w:t>residents at the accommodation</w:t>
      </w:r>
      <w:r w:rsidR="00C54371">
        <w:t xml:space="preserve"> </w:t>
      </w:r>
      <w:r w:rsidR="00BE75ED">
        <w:t xml:space="preserve">and is </w:t>
      </w:r>
      <w:r w:rsidR="003114C4">
        <w:t>funded by a specified entity or program (in this case, the NDIS)</w:t>
      </w:r>
    </w:p>
    <w:p w:rsidR="00BE75ED" w:rsidP="00BE75ED" w:rsidRDefault="00B20057" w14:paraId="249458E8" w14:textId="3188BCEF">
      <w:pPr>
        <w:pStyle w:val="Bullet1"/>
      </w:pPr>
      <w:r>
        <w:t xml:space="preserve">the </w:t>
      </w:r>
      <w:r w:rsidR="00BE75ED">
        <w:t>accommodation</w:t>
      </w:r>
      <w:r>
        <w:t xml:space="preserve"> is occupied </w:t>
      </w:r>
      <w:r w:rsidR="00114FF3">
        <w:t xml:space="preserve">by residents </w:t>
      </w:r>
      <w:r>
        <w:t>under a residential rental agreement</w:t>
      </w:r>
      <w:r w:rsidR="00D30C64">
        <w:t xml:space="preserve"> with the </w:t>
      </w:r>
      <w:r w:rsidR="00A341C8">
        <w:t xml:space="preserve">NDIS </w:t>
      </w:r>
      <w:r w:rsidR="00D30C64">
        <w:t>SIL provider</w:t>
      </w:r>
    </w:p>
    <w:p w:rsidR="00BE75ED" w:rsidP="000C7A62" w:rsidRDefault="00BE75ED" w14:paraId="68B06BDF" w14:textId="5544E897">
      <w:pPr>
        <w:pStyle w:val="Bullet1"/>
      </w:pPr>
      <w:r>
        <w:t xml:space="preserve">the accommodation </w:t>
      </w:r>
      <w:r w:rsidR="00D30C64">
        <w:t xml:space="preserve">is not, for example, </w:t>
      </w:r>
      <w:r w:rsidR="00D86567">
        <w:t xml:space="preserve">short-term, </w:t>
      </w:r>
      <w:r w:rsidR="00D30C64">
        <w:t>a health service or temporary crisis accommodation.</w:t>
      </w:r>
    </w:p>
    <w:p w:rsidR="004446A1" w:rsidP="004446A1" w:rsidRDefault="003114C4" w14:paraId="3F738B5D" w14:textId="3BF8C8D7">
      <w:pPr>
        <w:pStyle w:val="Bullet1"/>
        <w:numPr>
          <w:ilvl w:val="0"/>
          <w:numId w:val="0"/>
        </w:numPr>
      </w:pPr>
      <w:r>
        <w:t xml:space="preserve">From 1 July 2024, </w:t>
      </w:r>
      <w:r w:rsidRPr="00504E99" w:rsidR="00D30C64">
        <w:t>Ruby Disability Services</w:t>
      </w:r>
      <w:r w:rsidR="00D30C64">
        <w:t xml:space="preserve"> will need to take certain actions to comply with </w:t>
      </w:r>
      <w:r w:rsidR="00F27F1A">
        <w:t xml:space="preserve">the changes to the </w:t>
      </w:r>
      <w:r w:rsidR="00D30C64">
        <w:t>Residential Tenancies Act</w:t>
      </w:r>
      <w:r w:rsidR="00C94F3F">
        <w:t xml:space="preserve"> (r</w:t>
      </w:r>
      <w:r w:rsidR="00D30C64">
        <w:t>efer t</w:t>
      </w:r>
      <w:r w:rsidRPr="00A341C8" w:rsidR="004446A1">
        <w:t>o</w:t>
      </w:r>
      <w:r w:rsidRPr="00A341C8" w:rsidR="00A341C8">
        <w:t xml:space="preserve"> </w:t>
      </w:r>
      <w:hyperlink w:history="1" w:anchor="_Appendix_2:_Key_1">
        <w:r w:rsidRPr="00A341C8" w:rsidR="00A341C8">
          <w:rPr>
            <w:rStyle w:val="Hyperlink"/>
          </w:rPr>
          <w:t>Appendix 2: Key actions for SDA providers from 1 July 2024</w:t>
        </w:r>
      </w:hyperlink>
      <w:r w:rsidRPr="00A341C8" w:rsidR="00C94F3F">
        <w:t>).</w:t>
      </w:r>
    </w:p>
    <w:p w:rsidR="0003711E" w:rsidP="004446A1" w:rsidRDefault="00556DF6" w14:paraId="3BEC36A3" w14:textId="0879B077">
      <w:pPr>
        <w:pStyle w:val="Heading2"/>
      </w:pPr>
      <w:bookmarkStart w:name="_Toc166852424" w:id="82"/>
      <w:r>
        <w:t>Case study</w:t>
      </w:r>
      <w:r w:rsidR="0003711E">
        <w:t xml:space="preserve"> 2</w:t>
      </w:r>
      <w:r w:rsidR="00B32B3B">
        <w:t xml:space="preserve"> – SDA enrolled </w:t>
      </w:r>
      <w:r w:rsidR="00C94F3F">
        <w:t>dwelling under SDA residency agreement</w:t>
      </w:r>
      <w:bookmarkEnd w:id="82"/>
    </w:p>
    <w:p w:rsidR="00F27F1A" w:rsidP="00F27F1A" w:rsidRDefault="000B7599" w14:paraId="63335420" w14:textId="64CEA1D8">
      <w:pPr>
        <w:pStyle w:val="Heading3"/>
      </w:pPr>
      <w:bookmarkStart w:name="_Toc166852425" w:id="83"/>
      <w:r>
        <w:t>Summary</w:t>
      </w:r>
      <w:bookmarkEnd w:id="83"/>
    </w:p>
    <w:p w:rsidR="0003711E" w:rsidP="0003711E" w:rsidRDefault="1BD2FA86" w14:paraId="6FF8D637" w14:textId="5991728E">
      <w:pPr>
        <w:pStyle w:val="Body"/>
      </w:pPr>
      <w:r>
        <w:t>Opal</w:t>
      </w:r>
      <w:r w:rsidR="0003711E">
        <w:t xml:space="preserve"> Disability Services is an NDIS provider registered for both SDA and SIL.</w:t>
      </w:r>
    </w:p>
    <w:p w:rsidR="00F0204A" w:rsidP="0003711E" w:rsidRDefault="185E4B7C" w14:paraId="371AEBAE" w14:textId="6DEC25A6">
      <w:pPr>
        <w:pStyle w:val="Body"/>
      </w:pPr>
      <w:r>
        <w:t>Opal</w:t>
      </w:r>
      <w:r w:rsidR="0003711E">
        <w:t xml:space="preserve"> Disability Services own </w:t>
      </w:r>
      <w:r w:rsidR="005E35CB">
        <w:t>two</w:t>
      </w:r>
      <w:r w:rsidR="0003711E">
        <w:t xml:space="preserve"> properties</w:t>
      </w:r>
      <w:r w:rsidR="00C56E95">
        <w:t xml:space="preserve"> which they provide to </w:t>
      </w:r>
      <w:r w:rsidR="000C7A62">
        <w:t>several people with disability under individual SDA residency agreements.</w:t>
      </w:r>
    </w:p>
    <w:p w:rsidR="0003711E" w:rsidP="0003711E" w:rsidRDefault="00F0204A" w14:paraId="383EF55D" w14:textId="0F550009">
      <w:pPr>
        <w:pStyle w:val="Body"/>
      </w:pPr>
      <w:r>
        <w:t>Each property is</w:t>
      </w:r>
      <w:r w:rsidR="0003711E">
        <w:t xml:space="preserve"> enrolled with the NDIS as SDA</w:t>
      </w:r>
      <w:r>
        <w:t>.</w:t>
      </w:r>
    </w:p>
    <w:p w:rsidR="005E35CB" w:rsidP="004E2DED" w:rsidRDefault="005E35CB" w14:paraId="15D808F9" w14:textId="7B356C13">
      <w:pPr>
        <w:pStyle w:val="Body"/>
      </w:pPr>
      <w:r>
        <w:t xml:space="preserve">The residents of each property </w:t>
      </w:r>
      <w:r w:rsidR="000B7599">
        <w:t>have</w:t>
      </w:r>
      <w:r>
        <w:t xml:space="preserve"> NDIS SDA funding to live at the accommodation.</w:t>
      </w:r>
    </w:p>
    <w:p w:rsidR="005E35CB" w:rsidP="005E35CB" w:rsidRDefault="005E35CB" w14:paraId="0B680B20" w14:textId="50E71D5E">
      <w:pPr>
        <w:pStyle w:val="Heading3"/>
      </w:pPr>
      <w:bookmarkStart w:name="_Toc166852426" w:id="84"/>
      <w:r>
        <w:t>What the changes mean for this provider</w:t>
      </w:r>
      <w:bookmarkEnd w:id="84"/>
    </w:p>
    <w:p w:rsidR="005E35CB" w:rsidP="005E35CB" w:rsidRDefault="008A4582" w14:paraId="04287483" w14:textId="76B8EA90">
      <w:pPr>
        <w:pStyle w:val="Bodyafterbullets"/>
      </w:pPr>
      <w:r>
        <w:t xml:space="preserve">Opal </w:t>
      </w:r>
      <w:r w:rsidR="005E35CB">
        <w:t>Disability Services does not need to take any action from 1 July 2024. This is because:</w:t>
      </w:r>
    </w:p>
    <w:p w:rsidR="00582A47" w:rsidP="005E35CB" w:rsidRDefault="000C7A62" w14:paraId="42381E92" w14:textId="07789141">
      <w:pPr>
        <w:pStyle w:val="Bullet1"/>
      </w:pPr>
      <w:r>
        <w:t>the provide</w:t>
      </w:r>
      <w:r w:rsidR="00A21EAF">
        <w:t>r</w:t>
      </w:r>
      <w:r w:rsidR="00BA68BA">
        <w:t xml:space="preserve"> </w:t>
      </w:r>
      <w:r w:rsidR="00582A47">
        <w:t>is already an SDA provider</w:t>
      </w:r>
      <w:r>
        <w:t xml:space="preserve"> under the Residential Tenancies Ac</w:t>
      </w:r>
      <w:r w:rsidR="00C94F3F">
        <w:t>t</w:t>
      </w:r>
    </w:p>
    <w:p w:rsidR="00582A47" w:rsidP="000C7A62" w:rsidRDefault="00582A47" w14:paraId="120CC62B" w14:textId="66E45129">
      <w:pPr>
        <w:pStyle w:val="Bullet1"/>
      </w:pPr>
      <w:r>
        <w:t>each resident is already an SDA resident</w:t>
      </w:r>
    </w:p>
    <w:p w:rsidR="005E35CB" w:rsidP="005E35CB" w:rsidRDefault="00582A47" w14:paraId="56C6D968" w14:textId="3EF8816D">
      <w:pPr>
        <w:pStyle w:val="Bullet1"/>
      </w:pPr>
      <w:r>
        <w:t xml:space="preserve">the </w:t>
      </w:r>
      <w:r w:rsidR="005E35CB">
        <w:t xml:space="preserve">accommodation is </w:t>
      </w:r>
      <w:r>
        <w:t xml:space="preserve">already </w:t>
      </w:r>
      <w:r w:rsidR="005E35CB">
        <w:t>an SDA enrolled dwelling</w:t>
      </w:r>
    </w:p>
    <w:p w:rsidR="00582A47" w:rsidP="005E35CB" w:rsidRDefault="00582A47" w14:paraId="4277330D" w14:textId="6B83356A">
      <w:pPr>
        <w:pStyle w:val="Bullet1"/>
      </w:pPr>
      <w:r>
        <w:t xml:space="preserve">the accommodation is occupied under </w:t>
      </w:r>
      <w:r w:rsidR="000C7A62">
        <w:t xml:space="preserve">individual </w:t>
      </w:r>
      <w:r>
        <w:t>SDA residency agreements.</w:t>
      </w:r>
    </w:p>
    <w:p w:rsidR="000B7599" w:rsidP="000B7599" w:rsidRDefault="73FF0408" w14:paraId="0C5D370F" w14:textId="5412508F">
      <w:pPr>
        <w:pStyle w:val="Body"/>
      </w:pPr>
      <w:r>
        <w:t>Opal</w:t>
      </w:r>
      <w:r w:rsidR="000B7599">
        <w:t xml:space="preserve"> Disability Services should continue to comply with their obligations as an SDA provider under the Residential Tenancies Act</w:t>
      </w:r>
      <w:r w:rsidR="000C7A62">
        <w:t xml:space="preserve"> and note changes to rules for residential notices from 1 July 2024 (refer t</w:t>
      </w:r>
      <w:r w:rsidR="004446A1">
        <w:t>o</w:t>
      </w:r>
      <w:r w:rsidR="00A341C8">
        <w:rPr>
          <w:b/>
          <w:bCs/>
        </w:rPr>
        <w:t xml:space="preserve"> </w:t>
      </w:r>
      <w:hyperlink w:anchor="_Changes_to_residential_1">
        <w:r w:rsidRPr="358F9BEF" w:rsidR="00A341C8">
          <w:rPr>
            <w:rStyle w:val="Hyperlink"/>
          </w:rPr>
          <w:t>Changes to residential notices for SDA residency agreements</w:t>
        </w:r>
      </w:hyperlink>
      <w:r w:rsidRPr="00A341C8" w:rsidR="000C7A62">
        <w:t>).</w:t>
      </w:r>
    </w:p>
    <w:p w:rsidR="00ED6A06" w:rsidP="003F5FCD" w:rsidRDefault="00556DF6" w14:paraId="1455D84F" w14:textId="2E734169">
      <w:pPr>
        <w:pStyle w:val="Heading2"/>
      </w:pPr>
      <w:bookmarkStart w:name="_Toc166852427" w:id="85"/>
      <w:r>
        <w:t>Case study</w:t>
      </w:r>
      <w:r w:rsidR="00ED6A06">
        <w:t xml:space="preserve"> 3</w:t>
      </w:r>
      <w:r w:rsidR="00B32B3B">
        <w:t xml:space="preserve"> – Short</w:t>
      </w:r>
      <w:r w:rsidR="00C06DEF">
        <w:t>-</w:t>
      </w:r>
      <w:r w:rsidR="00B32B3B">
        <w:t xml:space="preserve">term </w:t>
      </w:r>
      <w:r w:rsidR="000F6CC6">
        <w:t>accommodation</w:t>
      </w:r>
      <w:r w:rsidR="00871B1D">
        <w:t>,</w:t>
      </w:r>
      <w:r w:rsidR="000F6CC6">
        <w:t xml:space="preserve"> short-term </w:t>
      </w:r>
      <w:r w:rsidR="00871B1D">
        <w:t xml:space="preserve">NDIS </w:t>
      </w:r>
      <w:r w:rsidR="000F6CC6">
        <w:t>SIL</w:t>
      </w:r>
      <w:r w:rsidR="00871B1D">
        <w:t xml:space="preserve"> and</w:t>
      </w:r>
      <w:r w:rsidR="000F6CC6">
        <w:t xml:space="preserve"> </w:t>
      </w:r>
      <w:r w:rsidR="00F6533B">
        <w:t xml:space="preserve">NDIS </w:t>
      </w:r>
      <w:r w:rsidR="000F6CC6">
        <w:t xml:space="preserve">medium-term </w:t>
      </w:r>
      <w:r w:rsidR="00B32B3B">
        <w:t>accommodation</w:t>
      </w:r>
      <w:bookmarkEnd w:id="85"/>
    </w:p>
    <w:p w:rsidR="00ED6A06" w:rsidP="00ED6A06" w:rsidRDefault="00ED6A06" w14:paraId="3C58089F" w14:textId="77777777">
      <w:pPr>
        <w:pStyle w:val="Heading3"/>
      </w:pPr>
      <w:bookmarkStart w:name="_Toc166852428" w:id="86"/>
      <w:r>
        <w:t>Summary</w:t>
      </w:r>
      <w:bookmarkEnd w:id="86"/>
    </w:p>
    <w:p w:rsidR="00ED6A06" w:rsidP="00ED6A06" w:rsidRDefault="00ED6A06" w14:paraId="43284D61" w14:textId="176D4F1D">
      <w:pPr>
        <w:pStyle w:val="Body"/>
      </w:pPr>
      <w:r>
        <w:t xml:space="preserve">Emerald Disability Services </w:t>
      </w:r>
      <w:r w:rsidR="00A21EAF">
        <w:t xml:space="preserve">lets </w:t>
      </w:r>
      <w:r>
        <w:t>a five-bedroom property from a private owner under a long-term commercial arrangement.</w:t>
      </w:r>
    </w:p>
    <w:p w:rsidRPr="00504E99" w:rsidR="00ED6A06" w:rsidP="00ED6A06" w:rsidRDefault="00ED6A06" w14:paraId="165F7E9F" w14:textId="5780BE1C">
      <w:pPr>
        <w:pStyle w:val="Body"/>
      </w:pPr>
      <w:r>
        <w:t>Emerald Disability Services uses the property to provide</w:t>
      </w:r>
      <w:r w:rsidR="000F6CC6">
        <w:t xml:space="preserve"> </w:t>
      </w:r>
      <w:r w:rsidR="00F6533B">
        <w:t>transitional</w:t>
      </w:r>
      <w:r w:rsidR="000F6CC6">
        <w:t xml:space="preserve"> </w:t>
      </w:r>
      <w:r w:rsidR="00A21EAF">
        <w:t xml:space="preserve">accommodation and </w:t>
      </w:r>
      <w:r w:rsidR="00F6533B">
        <w:t>supports, including short-term SIL supports for people waiting to access long-term SIL</w:t>
      </w:r>
      <w:r w:rsidR="000F6CC6">
        <w:t xml:space="preserve">, </w:t>
      </w:r>
      <w:r w:rsidR="00F6533B">
        <w:t xml:space="preserve">short-term accommodation, </w:t>
      </w:r>
      <w:r w:rsidR="000F6CC6">
        <w:t>medium-term accommodation</w:t>
      </w:r>
      <w:r>
        <w:t xml:space="preserve"> and respite </w:t>
      </w:r>
      <w:r w:rsidR="00DB258F">
        <w:t xml:space="preserve">accommodation </w:t>
      </w:r>
      <w:r>
        <w:t>for NDIS participants, people with Transport Accident Commission funded supports, and their families and carers.</w:t>
      </w:r>
    </w:p>
    <w:p w:rsidR="00ED6A06" w:rsidP="00ED6A06" w:rsidRDefault="00ED6A06" w14:paraId="68895BEC" w14:textId="77777777">
      <w:pPr>
        <w:pStyle w:val="Heading3"/>
      </w:pPr>
      <w:bookmarkStart w:name="_Toc166852429" w:id="87"/>
      <w:r>
        <w:t>What the changes mean for this provider</w:t>
      </w:r>
      <w:bookmarkEnd w:id="87"/>
    </w:p>
    <w:p w:rsidR="00ED6A06" w:rsidP="00ED6A06" w:rsidRDefault="00ED6A06" w14:paraId="53C1FA27" w14:textId="77777777">
      <w:pPr>
        <w:pStyle w:val="Body"/>
      </w:pPr>
      <w:r>
        <w:t>The property will not become an SDA dwelling from 1 July 2024. This is because:</w:t>
      </w:r>
    </w:p>
    <w:p w:rsidR="00ED6A06" w:rsidP="00BA7FCB" w:rsidRDefault="00ED6A06" w14:paraId="53A6953D" w14:textId="03BEEC4B">
      <w:pPr>
        <w:pStyle w:val="Bullet1"/>
      </w:pPr>
      <w:r>
        <w:t>the accommodation is provided to residents on a short-term</w:t>
      </w:r>
      <w:r w:rsidR="00F6533B">
        <w:t xml:space="preserve"> or transitional</w:t>
      </w:r>
      <w:r>
        <w:t xml:space="preserve"> basis</w:t>
      </w:r>
    </w:p>
    <w:p w:rsidR="00ED6A06" w:rsidP="00BA7FCB" w:rsidRDefault="00ED6A06" w14:paraId="09170907" w14:textId="2D0A55C9">
      <w:pPr>
        <w:pStyle w:val="Bullet1"/>
      </w:pPr>
      <w:r>
        <w:t xml:space="preserve">the accommodation is not directly </w:t>
      </w:r>
      <w:r w:rsidR="00310CE1">
        <w:t>let, or intended to be let,</w:t>
      </w:r>
      <w:r>
        <w:t xml:space="preserve"> to residents under a residential rental agreement or </w:t>
      </w:r>
      <w:r w:rsidR="00310CE1">
        <w:t xml:space="preserve">an </w:t>
      </w:r>
      <w:r>
        <w:t>SDA residency agreement.</w:t>
      </w:r>
    </w:p>
    <w:p w:rsidR="000F6CC6" w:rsidP="000F6CC6" w:rsidRDefault="00ED6A06" w14:paraId="3452B595" w14:textId="7DC1AB7F">
      <w:pPr>
        <w:pStyle w:val="Body"/>
      </w:pPr>
      <w:r>
        <w:t>Emerald Disability Services does not need to take any action following the commencement of the changes to the Residential Tenancies Act on 1 July 2024</w:t>
      </w:r>
      <w:r w:rsidR="00C94F3F">
        <w:t>.</w:t>
      </w:r>
    </w:p>
    <w:p w:rsidR="00310CE1" w:rsidP="000F6CC6" w:rsidRDefault="00310CE1" w14:paraId="42668AE1" w14:textId="2D95F393">
      <w:pPr>
        <w:pStyle w:val="Body"/>
      </w:pPr>
      <w:r>
        <w:t>However, from 1 July 2024, if at any time the property is reconfigured to provide long-term SIL or other long-term funded supports, the provider may become an SDA provider and subject to obligations under the Residential Tenancies Act.</w:t>
      </w:r>
    </w:p>
    <w:p w:rsidR="00F04825" w:rsidP="00F04825" w:rsidRDefault="00F04825" w14:paraId="17353ABE" w14:textId="77777777">
      <w:pPr>
        <w:pStyle w:val="Heading2"/>
      </w:pPr>
      <w:bookmarkStart w:name="_Toc166836403" w:id="88"/>
      <w:bookmarkStart w:name="_Toc166852430" w:id="89"/>
      <w:r>
        <w:t>Other accommodation arrangements</w:t>
      </w:r>
      <w:bookmarkEnd w:id="88"/>
      <w:bookmarkEnd w:id="89"/>
    </w:p>
    <w:p w:rsidR="00F04825" w:rsidP="00F04825" w:rsidRDefault="00F04825" w14:paraId="701B5726" w14:textId="77777777">
      <w:pPr>
        <w:pStyle w:val="Body"/>
      </w:pPr>
      <w:r>
        <w:t>The case studies in this section reflect common types of disability accommodation and support arrangements. They are not intended to cover all possible arrangements.</w:t>
      </w:r>
    </w:p>
    <w:p w:rsidRPr="000F6CC6" w:rsidR="00F04825" w:rsidP="000F6CC6" w:rsidRDefault="00F04825" w14:paraId="143382FF" w14:textId="1F41D350">
      <w:pPr>
        <w:pStyle w:val="Body"/>
      </w:pPr>
      <w:r>
        <w:t>How the Residential Tenancies Act applies to a specific provider, dwelling or resident should be considered on a case-by-case basis. If unsure, providers should seek independent legal advice to ensure they understand and comply with all relevant Victorian and Commonwealth laws.</w:t>
      </w:r>
    </w:p>
    <w:p w:rsidR="00C94F3F" w:rsidP="00D86567" w:rsidRDefault="7CCAADD4" w14:paraId="03A2A8B9" w14:textId="3C737DFA">
      <w:pPr>
        <w:pStyle w:val="Heading1"/>
        <w:numPr>
          <w:ilvl w:val="0"/>
          <w:numId w:val="0"/>
        </w:numPr>
      </w:pPr>
      <w:bookmarkStart w:name="_Toc166852431" w:id="90"/>
      <w:r>
        <w:t>Appendix</w:t>
      </w:r>
      <w:bookmarkStart w:name="_Appendix_4:_Extract" w:id="91"/>
      <w:bookmarkStart w:name="_Ref164851177" w:id="92"/>
      <w:bookmarkEnd w:id="91"/>
      <w:r w:rsidR="00C94F3F">
        <w:t xml:space="preserve"> </w:t>
      </w:r>
      <w:r w:rsidR="00E152FC">
        <w:t>4</w:t>
      </w:r>
      <w:r w:rsidR="00C94F3F">
        <w:t xml:space="preserve">: </w:t>
      </w:r>
      <w:r w:rsidR="00E152FC">
        <w:t xml:space="preserve">Extract of key definitions in the </w:t>
      </w:r>
      <w:r w:rsidRPr="00E152FC" w:rsidR="00E152FC">
        <w:rPr>
          <w:i/>
          <w:iCs/>
        </w:rPr>
        <w:t>Residential Tenancies Act 1997</w:t>
      </w:r>
      <w:bookmarkEnd w:id="90"/>
      <w:bookmarkEnd w:id="92"/>
    </w:p>
    <w:p w:rsidRPr="00E152FC" w:rsidR="00C94F3F" w:rsidP="00C94F3F" w:rsidRDefault="00C94F3F" w14:paraId="122F6EC4" w14:textId="26DB4D34">
      <w:pPr>
        <w:pStyle w:val="Tablecaption"/>
      </w:pPr>
      <w:r>
        <w:t xml:space="preserve">Table </w:t>
      </w:r>
      <w:r>
        <w:fldChar w:fldCharType="begin"/>
      </w:r>
      <w:r>
        <w:instrText>SEQ Table \* ARABIC</w:instrText>
      </w:r>
      <w:r>
        <w:fldChar w:fldCharType="separate"/>
      </w:r>
      <w:r w:rsidR="00037B9D">
        <w:rPr>
          <w:noProof/>
        </w:rPr>
        <w:t>4</w:t>
      </w:r>
      <w:r>
        <w:fldChar w:fldCharType="end"/>
      </w:r>
      <w:r>
        <w:t>. Legislated d</w:t>
      </w:r>
      <w:r w:rsidRPr="00480E7C">
        <w:t>efinition of SDA dwelling, SDA provider and SDA resident</w:t>
      </w:r>
      <w:r>
        <w:t xml:space="preserve"> in the </w:t>
      </w:r>
      <w:r w:rsidRPr="0003711E">
        <w:rPr>
          <w:i/>
          <w:iCs/>
        </w:rPr>
        <w:t>Residential Tenancies Act 199</w:t>
      </w:r>
      <w:r>
        <w:rPr>
          <w:i/>
          <w:iCs/>
        </w:rPr>
        <w:t>7</w:t>
      </w:r>
      <w:r w:rsidR="00E152FC">
        <w:rPr>
          <w:i/>
          <w:iCs/>
        </w:rPr>
        <w:t xml:space="preserve"> </w:t>
      </w:r>
      <w:r w:rsidR="00E152FC">
        <w:t>(Residential Tenancies Act)</w:t>
      </w:r>
    </w:p>
    <w:tbl>
      <w:tblPr>
        <w:tblStyle w:val="TableGrid"/>
        <w:tblpPr w:leftFromText="180" w:rightFromText="180" w:vertAnchor="text" w:tblpY="1"/>
        <w:tblOverlap w:val="never"/>
        <w:tblW w:w="5151" w:type="pct"/>
        <w:tblLook w:val="0620" w:firstRow="1" w:lastRow="0" w:firstColumn="0" w:lastColumn="0" w:noHBand="1" w:noVBand="1"/>
      </w:tblPr>
      <w:tblGrid>
        <w:gridCol w:w="1278"/>
        <w:gridCol w:w="3798"/>
        <w:gridCol w:w="5696"/>
      </w:tblGrid>
      <w:tr w:rsidRPr="00742F28" w:rsidR="00C94F3F" w14:paraId="5AC2846B" w14:textId="77777777">
        <w:trPr>
          <w:tblHeader/>
        </w:trPr>
        <w:tc>
          <w:tcPr>
            <w:tcW w:w="593" w:type="pct"/>
          </w:tcPr>
          <w:p w:rsidRPr="00AD651C" w:rsidR="00C94F3F" w:rsidRDefault="00C94F3F" w14:paraId="40B91977" w14:textId="77777777">
            <w:pPr>
              <w:pStyle w:val="Tablecolhead"/>
            </w:pPr>
            <w:r>
              <w:t>Term</w:t>
            </w:r>
          </w:p>
        </w:tc>
        <w:tc>
          <w:tcPr>
            <w:tcW w:w="1763" w:type="pct"/>
          </w:tcPr>
          <w:p w:rsidRPr="00AD651C" w:rsidR="00C94F3F" w:rsidRDefault="00C94F3F" w14:paraId="1812AFEB" w14:textId="77777777">
            <w:pPr>
              <w:pStyle w:val="Tablecolhead"/>
            </w:pPr>
            <w:r>
              <w:t>Prior to 1 July 2024</w:t>
            </w:r>
          </w:p>
        </w:tc>
        <w:tc>
          <w:tcPr>
            <w:tcW w:w="2644" w:type="pct"/>
          </w:tcPr>
          <w:p w:rsidR="00C94F3F" w:rsidRDefault="00C94F3F" w14:paraId="1FF37B00" w14:textId="77777777">
            <w:pPr>
              <w:pStyle w:val="Tablecolhead"/>
            </w:pPr>
            <w:r>
              <w:t>From 1 July 2024</w:t>
            </w:r>
          </w:p>
        </w:tc>
      </w:tr>
      <w:tr w:rsidRPr="00AF10E3" w:rsidR="00C94F3F" w14:paraId="5F8643E9" w14:textId="77777777">
        <w:tc>
          <w:tcPr>
            <w:tcW w:w="593" w:type="pct"/>
          </w:tcPr>
          <w:p w:rsidRPr="00EB15ED" w:rsidR="00C94F3F" w:rsidRDefault="00C94F3F" w14:paraId="735ED968" w14:textId="77777777">
            <w:pPr>
              <w:pStyle w:val="Tabletext"/>
              <w:rPr>
                <w:b/>
                <w:bCs/>
              </w:rPr>
            </w:pPr>
            <w:r>
              <w:rPr>
                <w:b/>
                <w:bCs/>
              </w:rPr>
              <w:t>SDA dwelling</w:t>
            </w:r>
          </w:p>
        </w:tc>
        <w:tc>
          <w:tcPr>
            <w:tcW w:w="1763" w:type="pct"/>
          </w:tcPr>
          <w:p w:rsidR="00C94F3F" w:rsidRDefault="00C94F3F" w14:paraId="18C75123" w14:textId="2938AAF4">
            <w:pPr>
              <w:pStyle w:val="Tabletext"/>
            </w:pPr>
            <w:r>
              <w:t xml:space="preserve">This term did not exist in the </w:t>
            </w:r>
            <w:r w:rsidRPr="00E152FC">
              <w:t>Residential Tenancies Act</w:t>
            </w:r>
            <w:r w:rsidR="00E152FC">
              <w:t>.</w:t>
            </w:r>
          </w:p>
          <w:p w:rsidRPr="000A66E3" w:rsidR="00C94F3F" w:rsidRDefault="00C94F3F" w14:paraId="318063FD" w14:textId="77777777">
            <w:pPr>
              <w:pStyle w:val="Tabletext"/>
            </w:pPr>
            <w:r>
              <w:t>The changes to the Residential Tenancies Act will introduce this new term.</w:t>
            </w:r>
          </w:p>
        </w:tc>
        <w:tc>
          <w:tcPr>
            <w:tcW w:w="2644" w:type="pct"/>
          </w:tcPr>
          <w:p w:rsidRPr="00BA7FCB" w:rsidR="00C94F3F" w:rsidRDefault="00C94F3F" w14:paraId="2588A433" w14:textId="63093C83">
            <w:pPr>
              <w:pStyle w:val="Tabletext"/>
              <w:rPr>
                <w:b/>
                <w:bCs/>
                <w:i/>
                <w:iCs/>
              </w:rPr>
            </w:pPr>
            <w:r w:rsidRPr="00BA7FCB">
              <w:rPr>
                <w:b/>
                <w:bCs/>
              </w:rPr>
              <w:t xml:space="preserve">Section </w:t>
            </w:r>
            <w:r w:rsidRPr="00BA7FCB" w:rsidR="00BA7FCB">
              <w:rPr>
                <w:b/>
                <w:bCs/>
              </w:rPr>
              <w:t>498BA</w:t>
            </w:r>
          </w:p>
          <w:p w:rsidRPr="00D64834" w:rsidR="00C94F3F" w:rsidRDefault="00C94F3F" w14:paraId="060FF05A" w14:textId="77777777">
            <w:pPr>
              <w:pStyle w:val="Tabletext"/>
            </w:pPr>
            <w:r w:rsidRPr="00D64834">
              <w:t>(1)</w:t>
            </w:r>
            <w:r w:rsidRPr="00D64834">
              <w:tab/>
            </w:r>
            <w:r w:rsidRPr="00D64834">
              <w:t xml:space="preserve">In this Act, an </w:t>
            </w:r>
            <w:r w:rsidRPr="00D64834">
              <w:rPr>
                <w:b/>
                <w:bCs/>
                <w:i/>
                <w:iCs/>
              </w:rPr>
              <w:t>SDA dwelling</w:t>
            </w:r>
            <w:r w:rsidRPr="00D64834">
              <w:t xml:space="preserve"> means— </w:t>
            </w:r>
          </w:p>
          <w:p w:rsidR="00C94F3F" w:rsidRDefault="00C94F3F" w14:paraId="2C846C89" w14:textId="77777777">
            <w:pPr>
              <w:pStyle w:val="Tabletext"/>
              <w:ind w:left="1276" w:hanging="567"/>
            </w:pPr>
            <w:r>
              <w:t>(a)</w:t>
            </w:r>
            <w:r>
              <w:tab/>
            </w:r>
            <w:r>
              <w:t xml:space="preserve">an SDA enrolled dwelling; or </w:t>
            </w:r>
          </w:p>
          <w:p w:rsidR="00C94F3F" w:rsidRDefault="00C94F3F" w14:paraId="6F449451" w14:textId="77777777">
            <w:pPr>
              <w:pStyle w:val="Tabletext"/>
              <w:ind w:left="1276" w:hanging="567"/>
            </w:pPr>
            <w:r>
              <w:t>(b)</w:t>
            </w:r>
            <w:r>
              <w:tab/>
            </w:r>
            <w:r>
              <w:t>any other permanent dwelling that provides long term accommodation and where daily independent living support is provided to one or more residents with a disability funded by a specified entity or program and may comprise—</w:t>
            </w:r>
          </w:p>
          <w:p w:rsidR="00C94F3F" w:rsidRDefault="00C94F3F" w14:paraId="34FACB62" w14:textId="77777777">
            <w:pPr>
              <w:pStyle w:val="Tabletext"/>
              <w:ind w:left="1843" w:hanging="567"/>
            </w:pPr>
            <w:r>
              <w:t>(i)</w:t>
            </w:r>
            <w:r>
              <w:tab/>
            </w:r>
            <w:r>
              <w:t>an area or room exclusively occupied by an SDA resident and common areas shared by other SDA residents under an SDA residency agreement; or</w:t>
            </w:r>
          </w:p>
          <w:p w:rsidR="00C94F3F" w:rsidRDefault="00C94F3F" w14:paraId="14592E12" w14:textId="77777777">
            <w:pPr>
              <w:pStyle w:val="Tabletext"/>
              <w:ind w:left="1843" w:hanging="567"/>
            </w:pPr>
            <w:r>
              <w:t>(ii)</w:t>
            </w:r>
            <w:r>
              <w:tab/>
            </w:r>
            <w:r>
              <w:t xml:space="preserve">the dwelling </w:t>
            </w:r>
            <w:proofErr w:type="gramStart"/>
            <w:r>
              <w:t>as a whole occupied</w:t>
            </w:r>
            <w:proofErr w:type="gramEnd"/>
            <w:r>
              <w:t xml:space="preserve"> exclusively by an SDA resident under an SDA residency agreement; or</w:t>
            </w:r>
          </w:p>
          <w:p w:rsidR="00C94F3F" w:rsidRDefault="00C94F3F" w14:paraId="3C49163F" w14:textId="77777777">
            <w:pPr>
              <w:pStyle w:val="Tabletext"/>
              <w:ind w:left="1843" w:hanging="567"/>
            </w:pPr>
            <w:r>
              <w:t>(iii)</w:t>
            </w:r>
            <w:r>
              <w:tab/>
            </w:r>
            <w:r>
              <w:t xml:space="preserve">the dwelling </w:t>
            </w:r>
            <w:proofErr w:type="gramStart"/>
            <w:r>
              <w:t>as a whole occupied</w:t>
            </w:r>
            <w:proofErr w:type="gramEnd"/>
            <w:r>
              <w:t xml:space="preserve"> under a residential rental agreement by at least one SDA resident and other occupants who may or may not be SDA residents.</w:t>
            </w:r>
          </w:p>
          <w:p w:rsidR="00C94F3F" w:rsidP="005A4C22" w:rsidRDefault="00C94F3F" w14:paraId="5AE74115" w14:textId="77777777">
            <w:pPr>
              <w:pStyle w:val="Tabletext"/>
              <w:ind w:left="764" w:hanging="764"/>
            </w:pPr>
            <w:r>
              <w:t>(2)</w:t>
            </w:r>
            <w:r>
              <w:tab/>
            </w:r>
            <w:r>
              <w:t>An SDA dwelling does not include the following—</w:t>
            </w:r>
          </w:p>
          <w:p w:rsidR="00C94F3F" w:rsidRDefault="00C94F3F" w14:paraId="74B8A66E" w14:textId="31FEE925">
            <w:pPr>
              <w:pStyle w:val="Tabletext"/>
              <w:ind w:left="1276" w:hanging="567"/>
            </w:pPr>
            <w:r>
              <w:t>(a)</w:t>
            </w:r>
            <w:r>
              <w:tab/>
            </w:r>
            <w:r>
              <w:t xml:space="preserve">premises that are not occupied under an SDA residency agreement or a residential rental </w:t>
            </w:r>
            <w:proofErr w:type="gramStart"/>
            <w:r>
              <w:t>agreement</w:t>
            </w:r>
            <w:r w:rsidR="00F04825">
              <w:t>;</w:t>
            </w:r>
            <w:proofErr w:type="gramEnd"/>
          </w:p>
          <w:p w:rsidRPr="006876A9" w:rsidR="00C94F3F" w:rsidRDefault="00C94F3F" w14:paraId="6AD5C810" w14:textId="77777777">
            <w:pPr>
              <w:pStyle w:val="Tabletext"/>
              <w:ind w:left="1276"/>
              <w:rPr>
                <w:b/>
                <w:bCs/>
                <w:sz w:val="22"/>
                <w:szCs w:val="22"/>
              </w:rPr>
            </w:pPr>
            <w:r w:rsidRPr="006876A9">
              <w:rPr>
                <w:b/>
                <w:bCs/>
                <w:sz w:val="22"/>
                <w:szCs w:val="22"/>
              </w:rPr>
              <w:t>Note</w:t>
            </w:r>
          </w:p>
          <w:p w:rsidRPr="006876A9" w:rsidR="00C94F3F" w:rsidRDefault="00C94F3F" w14:paraId="266902A1" w14:textId="77777777">
            <w:pPr>
              <w:pStyle w:val="Tabletext"/>
              <w:ind w:left="1276"/>
              <w:rPr>
                <w:sz w:val="22"/>
                <w:szCs w:val="22"/>
              </w:rPr>
            </w:pPr>
            <w:r w:rsidRPr="006876A9">
              <w:rPr>
                <w:sz w:val="22"/>
                <w:szCs w:val="22"/>
              </w:rPr>
              <w:t xml:space="preserve">See also section 26(3) and the definition of </w:t>
            </w:r>
            <w:r w:rsidRPr="006876A9">
              <w:rPr>
                <w:b/>
                <w:bCs/>
                <w:i/>
                <w:iCs/>
                <w:sz w:val="22"/>
                <w:szCs w:val="22"/>
              </w:rPr>
              <w:t>residential rental agreement</w:t>
            </w:r>
            <w:r w:rsidRPr="006876A9">
              <w:rPr>
                <w:sz w:val="22"/>
                <w:szCs w:val="22"/>
              </w:rPr>
              <w:t xml:space="preserve"> in section 3(1).</w:t>
            </w:r>
          </w:p>
          <w:p w:rsidR="00C94F3F" w:rsidRDefault="00C94F3F" w14:paraId="259694DC" w14:textId="77777777">
            <w:pPr>
              <w:pStyle w:val="Tabletext"/>
              <w:ind w:left="1276" w:hanging="567"/>
            </w:pPr>
            <w:r>
              <w:t>(b)</w:t>
            </w:r>
            <w:r>
              <w:tab/>
            </w:r>
            <w:r>
              <w:t>a premises occupied under a residential rental agreement in relation to which the residential rental provider and, if appropriate, the head renter of the premises—</w:t>
            </w:r>
          </w:p>
          <w:p w:rsidR="00C94F3F" w:rsidRDefault="00C94F3F" w14:paraId="1CD98282" w14:textId="77777777">
            <w:pPr>
              <w:pStyle w:val="Tabletext"/>
              <w:ind w:left="1843" w:hanging="567"/>
            </w:pPr>
            <w:r>
              <w:t>(i)</w:t>
            </w:r>
            <w:r>
              <w:tab/>
            </w:r>
            <w:r>
              <w:t>do not receive funding from a specified entity or program in relation to any disability support provided at the premises; and</w:t>
            </w:r>
          </w:p>
          <w:p w:rsidR="00C94F3F" w:rsidRDefault="00C94F3F" w14:paraId="5F706CBF" w14:textId="77777777">
            <w:pPr>
              <w:pStyle w:val="Tabletext"/>
              <w:ind w:left="1843" w:hanging="567"/>
            </w:pPr>
            <w:r>
              <w:t>(ii)</w:t>
            </w:r>
            <w:r>
              <w:tab/>
            </w:r>
            <w:r>
              <w:t xml:space="preserve">have not entered into an agreement with a specified entity or program in relation to any disability support provided at the </w:t>
            </w:r>
            <w:proofErr w:type="gramStart"/>
            <w:r>
              <w:t>premises;</w:t>
            </w:r>
            <w:proofErr w:type="gramEnd"/>
          </w:p>
          <w:p w:rsidR="00C94F3F" w:rsidRDefault="00C94F3F" w14:paraId="7708CC13" w14:textId="77777777">
            <w:pPr>
              <w:pStyle w:val="Tabletext"/>
              <w:ind w:left="1276" w:hanging="567"/>
            </w:pPr>
            <w:r>
              <w:t>(c)</w:t>
            </w:r>
            <w:r>
              <w:tab/>
            </w:r>
            <w:r>
              <w:t xml:space="preserve">a health or residential </w:t>
            </w:r>
            <w:proofErr w:type="gramStart"/>
            <w:r>
              <w:t>service;</w:t>
            </w:r>
            <w:proofErr w:type="gramEnd"/>
          </w:p>
          <w:p w:rsidR="00C94F3F" w:rsidRDefault="00C94F3F" w14:paraId="2789FC4D" w14:textId="77777777">
            <w:pPr>
              <w:pStyle w:val="Tabletext"/>
              <w:ind w:left="1276" w:hanging="567"/>
            </w:pPr>
            <w:r>
              <w:t>(d)</w:t>
            </w:r>
            <w:r>
              <w:tab/>
            </w:r>
            <w:r>
              <w:t xml:space="preserve">temporary crisis </w:t>
            </w:r>
            <w:proofErr w:type="gramStart"/>
            <w:r>
              <w:t>accommodation;</w:t>
            </w:r>
            <w:proofErr w:type="gramEnd"/>
            <w:r>
              <w:t xml:space="preserve"> </w:t>
            </w:r>
          </w:p>
          <w:p w:rsidR="00C94F3F" w:rsidRDefault="00C94F3F" w14:paraId="73A0D223" w14:textId="77777777">
            <w:pPr>
              <w:pStyle w:val="Tabletext"/>
              <w:ind w:left="1276" w:hanging="567"/>
            </w:pPr>
            <w:r>
              <w:t>(e)</w:t>
            </w:r>
            <w:r>
              <w:tab/>
            </w:r>
            <w:r>
              <w:t>a short-term accommodation dwelling or accommodation that is used to provide respite or transitional accommodation.</w:t>
            </w:r>
          </w:p>
          <w:p w:rsidR="00C94F3F" w:rsidRDefault="00C94F3F" w14:paraId="7BAA8372" w14:textId="77777777">
            <w:pPr>
              <w:pStyle w:val="Tabletext"/>
            </w:pPr>
            <w:r>
              <w:t>(3)</w:t>
            </w:r>
            <w:r>
              <w:tab/>
            </w:r>
            <w:r>
              <w:t>In this section—</w:t>
            </w:r>
          </w:p>
          <w:p w:rsidR="00C94F3F" w:rsidRDefault="00C94F3F" w14:paraId="57819AA2" w14:textId="77777777">
            <w:pPr>
              <w:pStyle w:val="Tabletext"/>
              <w:ind w:left="1276" w:hanging="567"/>
            </w:pPr>
            <w:r w:rsidRPr="00D64834">
              <w:rPr>
                <w:b/>
                <w:bCs/>
                <w:i/>
                <w:iCs/>
              </w:rPr>
              <w:t>head renter</w:t>
            </w:r>
            <w:r>
              <w:t>, in relation to rented premises, means a person who—</w:t>
            </w:r>
          </w:p>
          <w:p w:rsidR="00C94F3F" w:rsidRDefault="00C94F3F" w14:paraId="22161A30" w14:textId="77777777">
            <w:pPr>
              <w:pStyle w:val="Tabletext"/>
              <w:ind w:left="1276" w:hanging="567"/>
            </w:pPr>
            <w:r>
              <w:t>(a)</w:t>
            </w:r>
            <w:r>
              <w:tab/>
            </w:r>
            <w:r>
              <w:t>is a renter of the premises under the head residential rental agreement within the meaning of section 91</w:t>
            </w:r>
            <w:proofErr w:type="gramStart"/>
            <w:r>
              <w:t>R(</w:t>
            </w:r>
            <w:proofErr w:type="gramEnd"/>
            <w:r>
              <w:t xml:space="preserve">1); and </w:t>
            </w:r>
          </w:p>
          <w:p w:rsidR="00C94F3F" w:rsidRDefault="00C94F3F" w14:paraId="44F7550A" w14:textId="77777777">
            <w:pPr>
              <w:pStyle w:val="Tabletext"/>
              <w:ind w:left="1276" w:hanging="567"/>
            </w:pPr>
            <w:r>
              <w:t>(b)</w:t>
            </w:r>
            <w:r>
              <w:tab/>
            </w:r>
            <w:r>
              <w:t>has granted another person possession of the premises under a sub-residential rental agreement within the meaning of that section.</w:t>
            </w:r>
          </w:p>
        </w:tc>
      </w:tr>
      <w:tr w:rsidRPr="00AF10E3" w:rsidR="00C94F3F" w14:paraId="7F313101" w14:textId="77777777">
        <w:tc>
          <w:tcPr>
            <w:tcW w:w="593" w:type="pct"/>
          </w:tcPr>
          <w:p w:rsidR="00C94F3F" w:rsidRDefault="00C94F3F" w14:paraId="3CE83556" w14:textId="77777777">
            <w:pPr>
              <w:pStyle w:val="Tabletext"/>
              <w:rPr>
                <w:b/>
                <w:bCs/>
              </w:rPr>
            </w:pPr>
            <w:r>
              <w:rPr>
                <w:b/>
                <w:bCs/>
              </w:rPr>
              <w:t>SDA enrolled dwelling</w:t>
            </w:r>
          </w:p>
          <w:p w:rsidR="00C94F3F" w:rsidRDefault="00C94F3F" w14:paraId="3352E91A" w14:textId="77777777">
            <w:pPr>
              <w:pStyle w:val="Tabletext"/>
              <w:rPr>
                <w:b/>
                <w:bCs/>
              </w:rPr>
            </w:pPr>
          </w:p>
        </w:tc>
        <w:tc>
          <w:tcPr>
            <w:tcW w:w="1763" w:type="pct"/>
          </w:tcPr>
          <w:p w:rsidRPr="00A341C8" w:rsidR="00C94F3F" w:rsidRDefault="00C94F3F" w14:paraId="0EC56184" w14:textId="77777777">
            <w:pPr>
              <w:pStyle w:val="Tabletext"/>
              <w:rPr>
                <w:b/>
                <w:bCs/>
                <w:i/>
                <w:iCs/>
              </w:rPr>
            </w:pPr>
            <w:r w:rsidRPr="00A341C8">
              <w:rPr>
                <w:b/>
                <w:bCs/>
              </w:rPr>
              <w:t>Section 3(1)</w:t>
            </w:r>
          </w:p>
          <w:p w:rsidR="00C94F3F" w:rsidRDefault="00C94F3F" w14:paraId="453ABAFA" w14:textId="77777777">
            <w:pPr>
              <w:pStyle w:val="Tabletext"/>
            </w:pPr>
            <w:r w:rsidRPr="00D64834">
              <w:rPr>
                <w:b/>
                <w:bCs/>
                <w:i/>
                <w:iCs/>
              </w:rPr>
              <w:t>SDA enrolled dwelling</w:t>
            </w:r>
            <w:r>
              <w:t xml:space="preserve"> means a permanent dwelling—</w:t>
            </w:r>
          </w:p>
          <w:p w:rsidR="00C94F3F" w:rsidRDefault="00C94F3F" w14:paraId="7923E13C" w14:textId="77777777">
            <w:pPr>
              <w:pStyle w:val="Tabletext"/>
              <w:ind w:left="567" w:hanging="567"/>
            </w:pPr>
            <w:r>
              <w:t>(a)</w:t>
            </w:r>
            <w:r>
              <w:tab/>
            </w:r>
            <w:r>
              <w:t>that provides long-term accommodation for one or more SDA residents; and</w:t>
            </w:r>
          </w:p>
          <w:p w:rsidR="00C94F3F" w:rsidRDefault="00C94F3F" w14:paraId="7084A185" w14:textId="77777777">
            <w:pPr>
              <w:pStyle w:val="Tabletext"/>
              <w:ind w:left="567" w:hanging="567"/>
            </w:pPr>
            <w:r>
              <w:t>(b)</w:t>
            </w:r>
            <w:r>
              <w:tab/>
            </w:r>
            <w:r>
              <w:t>that is enrolled as an SDA dwelling under the National Disability Insurance Scheme (Specialist Disability Accommodation) Rules 2016 of the Commonwealth as in force from time to time or under other rules made under the National Disability Insurance Scheme Act 2013 of the Commonwealth; and</w:t>
            </w:r>
          </w:p>
          <w:p w:rsidR="00C94F3F" w:rsidRDefault="00C94F3F" w14:paraId="2B356CB8" w14:textId="77777777">
            <w:pPr>
              <w:pStyle w:val="Tabletext"/>
              <w:ind w:left="567" w:hanging="567"/>
            </w:pPr>
            <w:r>
              <w:t>(c)</w:t>
            </w:r>
            <w:r>
              <w:tab/>
            </w:r>
            <w:r>
              <w:t xml:space="preserve">that may comprise of— </w:t>
            </w:r>
          </w:p>
          <w:p w:rsidR="00C94F3F" w:rsidRDefault="00C94F3F" w14:paraId="3B989CFF" w14:textId="77777777">
            <w:pPr>
              <w:pStyle w:val="Tabletext"/>
              <w:ind w:left="1134" w:hanging="567"/>
            </w:pPr>
            <w:r>
              <w:t>(i)</w:t>
            </w:r>
            <w:r>
              <w:tab/>
            </w:r>
            <w:r>
              <w:t>an area or room exclusively occupied by an SDA resident and common areas shared by other SDA residents under an SDA residency agreement; or</w:t>
            </w:r>
          </w:p>
          <w:p w:rsidR="00C94F3F" w:rsidRDefault="00C94F3F" w14:paraId="68CBA76B" w14:textId="77777777">
            <w:pPr>
              <w:pStyle w:val="Tabletext"/>
              <w:ind w:left="1134" w:hanging="567"/>
            </w:pPr>
            <w:r>
              <w:t>(ii)</w:t>
            </w:r>
            <w:r>
              <w:tab/>
            </w:r>
            <w:r>
              <w:t xml:space="preserve">the dwelling </w:t>
            </w:r>
            <w:proofErr w:type="gramStart"/>
            <w:r>
              <w:t>as a whole occupied</w:t>
            </w:r>
            <w:proofErr w:type="gramEnd"/>
            <w:r>
              <w:t xml:space="preserve"> exclusively by an SDA resident under an SDA residency agreement; or</w:t>
            </w:r>
          </w:p>
          <w:p w:rsidRPr="00A42CFE" w:rsidR="00C94F3F" w:rsidP="00A341C8" w:rsidRDefault="00C94F3F" w14:paraId="67E2AA55" w14:textId="77777777">
            <w:pPr>
              <w:pStyle w:val="Tabletext"/>
              <w:ind w:left="1158" w:hanging="567"/>
            </w:pPr>
            <w:r>
              <w:t>(iii)</w:t>
            </w:r>
            <w:r>
              <w:tab/>
            </w:r>
            <w:r>
              <w:t xml:space="preserve">the dwelling </w:t>
            </w:r>
            <w:proofErr w:type="gramStart"/>
            <w:r>
              <w:t>as a whole occupied</w:t>
            </w:r>
            <w:proofErr w:type="gramEnd"/>
            <w:r>
              <w:t xml:space="preserve"> under a residential rental agreement by at least one SDA resident and other occupants who may or may not be SDA residents;</w:t>
            </w:r>
          </w:p>
        </w:tc>
        <w:tc>
          <w:tcPr>
            <w:tcW w:w="2644" w:type="pct"/>
          </w:tcPr>
          <w:p w:rsidRPr="00A341C8" w:rsidR="00A341C8" w:rsidP="00A341C8" w:rsidRDefault="00A341C8" w14:paraId="29093ADB" w14:textId="0ADF99C6">
            <w:pPr>
              <w:pStyle w:val="Tabletext"/>
              <w:rPr>
                <w:b/>
                <w:bCs/>
                <w:i/>
                <w:iCs/>
              </w:rPr>
            </w:pPr>
            <w:r w:rsidRPr="00A341C8">
              <w:rPr>
                <w:b/>
                <w:bCs/>
              </w:rPr>
              <w:t>Section 3(1)</w:t>
            </w:r>
          </w:p>
          <w:p w:rsidR="00C94F3F" w:rsidRDefault="00C94F3F" w14:paraId="7DAD5F62" w14:textId="3B1BD5F9">
            <w:pPr>
              <w:pStyle w:val="Tabletext"/>
            </w:pPr>
            <w:r>
              <w:rPr>
                <w:bCs/>
              </w:rPr>
              <w:t xml:space="preserve">The definition of SDA enrolled dwelling will remain unchanged, except for a change to the date of </w:t>
            </w:r>
            <w:r w:rsidR="00A341C8">
              <w:rPr>
                <w:bCs/>
              </w:rPr>
              <w:t xml:space="preserve">the </w:t>
            </w:r>
            <w:r w:rsidR="00A341C8">
              <w:t>National</w:t>
            </w:r>
            <w:r w:rsidRPr="00A341C8" w:rsidR="00A341C8">
              <w:rPr>
                <w:bCs/>
              </w:rPr>
              <w:t xml:space="preserve"> Disability Insurance Scheme (Specialist Disability Accommodation) Rules 2016</w:t>
            </w:r>
            <w:r>
              <w:t xml:space="preserve"> from 2016 to 2020.</w:t>
            </w:r>
          </w:p>
        </w:tc>
      </w:tr>
      <w:tr w:rsidRPr="00AF10E3" w:rsidR="00C94F3F" w14:paraId="07E669EA" w14:textId="77777777">
        <w:tc>
          <w:tcPr>
            <w:tcW w:w="593" w:type="pct"/>
          </w:tcPr>
          <w:p w:rsidRPr="00A42CFE" w:rsidR="00C94F3F" w:rsidRDefault="00C94F3F" w14:paraId="1D31DDB0" w14:textId="77777777">
            <w:pPr>
              <w:pStyle w:val="Tabletext"/>
              <w:rPr>
                <w:b/>
                <w:bCs/>
              </w:rPr>
            </w:pPr>
            <w:r>
              <w:rPr>
                <w:b/>
                <w:bCs/>
              </w:rPr>
              <w:t>SDA provider</w:t>
            </w:r>
          </w:p>
        </w:tc>
        <w:tc>
          <w:tcPr>
            <w:tcW w:w="1763" w:type="pct"/>
          </w:tcPr>
          <w:p w:rsidRPr="00A42CFE" w:rsidR="00C94F3F" w:rsidRDefault="00C94F3F" w14:paraId="1D127930" w14:textId="77777777">
            <w:pPr>
              <w:pStyle w:val="Tabletext"/>
            </w:pPr>
            <w:r w:rsidRPr="00A42CFE">
              <w:t>Section 498B</w:t>
            </w:r>
          </w:p>
          <w:p w:rsidRPr="00D64834" w:rsidR="00C94F3F" w:rsidRDefault="00C94F3F" w14:paraId="68BFEE84" w14:textId="77777777">
            <w:pPr>
              <w:pStyle w:val="Tabletext"/>
              <w:rPr>
                <w:b/>
                <w:bCs/>
                <w:i/>
                <w:iCs/>
              </w:rPr>
            </w:pPr>
            <w:r w:rsidRPr="00D64834">
              <w:rPr>
                <w:b/>
                <w:bCs/>
                <w:i/>
                <w:iCs/>
              </w:rPr>
              <w:t>SDA provider means a person—</w:t>
            </w:r>
          </w:p>
          <w:p w:rsidR="00C94F3F" w:rsidRDefault="00C94F3F" w14:paraId="262E341E" w14:textId="77777777">
            <w:pPr>
              <w:pStyle w:val="Tabletext"/>
              <w:ind w:left="567" w:hanging="567"/>
            </w:pPr>
            <w:r>
              <w:t>(a)</w:t>
            </w:r>
            <w:r>
              <w:tab/>
            </w:r>
            <w:r>
              <w:t>who is a registered NDIS provider that provides specialist disability accommodation; and</w:t>
            </w:r>
          </w:p>
          <w:p w:rsidRPr="000A66E3" w:rsidR="00C94F3F" w:rsidRDefault="00C94F3F" w14:paraId="55922788" w14:textId="77777777">
            <w:pPr>
              <w:pStyle w:val="Tabletext"/>
              <w:ind w:left="567" w:hanging="567"/>
            </w:pPr>
            <w:r>
              <w:t>(b)</w:t>
            </w:r>
            <w:r>
              <w:tab/>
            </w:r>
            <w:r>
              <w:t>who is the owner or leaseholder of an SDA enrolled dwelling;</w:t>
            </w:r>
          </w:p>
        </w:tc>
        <w:tc>
          <w:tcPr>
            <w:tcW w:w="2644" w:type="pct"/>
          </w:tcPr>
          <w:p w:rsidRPr="00BA7FCB" w:rsidR="00C94F3F" w:rsidRDefault="00C94F3F" w14:paraId="630374EE" w14:textId="77777777">
            <w:pPr>
              <w:pStyle w:val="Tabletext"/>
              <w:rPr>
                <w:b/>
                <w:bCs/>
                <w:i/>
                <w:iCs/>
              </w:rPr>
            </w:pPr>
            <w:r w:rsidRPr="00BA7FCB">
              <w:rPr>
                <w:b/>
                <w:bCs/>
              </w:rPr>
              <w:t>Section 3(1)</w:t>
            </w:r>
          </w:p>
          <w:p w:rsidR="00C94F3F" w:rsidRDefault="00C94F3F" w14:paraId="16A9B737" w14:textId="35EC7EEF">
            <w:pPr>
              <w:pStyle w:val="Tabletext"/>
            </w:pPr>
            <w:r w:rsidRPr="00292728">
              <w:rPr>
                <w:b/>
                <w:bCs/>
              </w:rPr>
              <w:t>SDA provider</w:t>
            </w:r>
            <w:r w:rsidRPr="00292728">
              <w:t xml:space="preserve"> means a person who is the owner or leaseholder of an SDA dwelling if the premises are let under, or are proposed to be let under, an SDA residency agreement or residential rental agreement to an SDA resident</w:t>
            </w:r>
            <w:r w:rsidR="0081783A">
              <w:t>.</w:t>
            </w:r>
          </w:p>
        </w:tc>
      </w:tr>
      <w:tr w:rsidRPr="00AF10E3" w:rsidR="00983F00" w14:paraId="6F254698" w14:textId="77777777">
        <w:tc>
          <w:tcPr>
            <w:tcW w:w="593" w:type="pct"/>
          </w:tcPr>
          <w:p w:rsidRPr="00A42CFE" w:rsidR="00C94F3F" w:rsidRDefault="00C94F3F" w14:paraId="2D79DA93" w14:textId="77777777">
            <w:pPr>
              <w:pStyle w:val="Tabletext"/>
              <w:rPr>
                <w:b/>
                <w:bCs/>
              </w:rPr>
            </w:pPr>
            <w:r>
              <w:rPr>
                <w:b/>
                <w:bCs/>
              </w:rPr>
              <w:t>SDA resident</w:t>
            </w:r>
          </w:p>
        </w:tc>
        <w:tc>
          <w:tcPr>
            <w:tcW w:w="1763" w:type="pct"/>
          </w:tcPr>
          <w:p w:rsidRPr="00A42CFE" w:rsidR="00C94F3F" w:rsidRDefault="00C94F3F" w14:paraId="36C30575" w14:textId="77777777">
            <w:pPr>
              <w:pStyle w:val="Tabletext"/>
            </w:pPr>
            <w:r w:rsidRPr="00A42CFE">
              <w:t>Section 498B</w:t>
            </w:r>
          </w:p>
          <w:p w:rsidRPr="00D64834" w:rsidR="00C94F3F" w:rsidRDefault="00C94F3F" w14:paraId="72B51AFD" w14:textId="77777777">
            <w:pPr>
              <w:pStyle w:val="Tabletext"/>
              <w:rPr>
                <w:b/>
                <w:bCs/>
                <w:i/>
                <w:iCs/>
              </w:rPr>
            </w:pPr>
            <w:r w:rsidRPr="00D64834">
              <w:rPr>
                <w:b/>
                <w:bCs/>
                <w:i/>
                <w:iCs/>
              </w:rPr>
              <w:t>SDA resident means—</w:t>
            </w:r>
          </w:p>
          <w:p w:rsidR="00C94F3F" w:rsidRDefault="00C94F3F" w14:paraId="28D952AC" w14:textId="77777777">
            <w:pPr>
              <w:pStyle w:val="Tabletext"/>
              <w:ind w:left="567" w:hanging="567"/>
            </w:pPr>
            <w:r>
              <w:t>(a)</w:t>
            </w:r>
            <w:r>
              <w:tab/>
            </w:r>
            <w:r>
              <w:t xml:space="preserve">a person who is an SDA recipient; or </w:t>
            </w:r>
          </w:p>
          <w:p w:rsidR="00C94F3F" w:rsidRDefault="00C94F3F" w14:paraId="34456694" w14:textId="77777777">
            <w:pPr>
              <w:pStyle w:val="Tabletext"/>
              <w:ind w:left="567" w:hanging="567"/>
            </w:pPr>
            <w:r>
              <w:t>(b)</w:t>
            </w:r>
            <w:r>
              <w:tab/>
            </w:r>
            <w:r>
              <w:t>a person who is a CoS supported accommodation client;</w:t>
            </w:r>
          </w:p>
        </w:tc>
        <w:tc>
          <w:tcPr>
            <w:tcW w:w="2644" w:type="pct"/>
          </w:tcPr>
          <w:p w:rsidRPr="00BA7FCB" w:rsidR="00C94F3F" w:rsidRDefault="00C94F3F" w14:paraId="657D0A4A" w14:textId="77777777">
            <w:pPr>
              <w:pStyle w:val="Tabletext"/>
              <w:rPr>
                <w:b/>
                <w:bCs/>
                <w:i/>
                <w:iCs/>
              </w:rPr>
            </w:pPr>
            <w:r w:rsidRPr="00BA7FCB">
              <w:rPr>
                <w:b/>
                <w:bCs/>
              </w:rPr>
              <w:t>Section 3(1)</w:t>
            </w:r>
          </w:p>
          <w:p w:rsidRPr="00D64834" w:rsidR="00C94F3F" w:rsidRDefault="00C94F3F" w14:paraId="0900A083" w14:textId="77777777">
            <w:pPr>
              <w:pStyle w:val="Tabletext"/>
              <w:rPr>
                <w:b/>
                <w:bCs/>
                <w:i/>
                <w:iCs/>
              </w:rPr>
            </w:pPr>
            <w:r w:rsidRPr="00D64834">
              <w:rPr>
                <w:b/>
                <w:bCs/>
                <w:i/>
                <w:iCs/>
              </w:rPr>
              <w:t>SDA resident means a person with a disability—</w:t>
            </w:r>
          </w:p>
          <w:p w:rsidR="00C94F3F" w:rsidRDefault="00C94F3F" w14:paraId="781A7D14" w14:textId="77777777">
            <w:pPr>
              <w:pStyle w:val="Tabletext"/>
              <w:ind w:left="567" w:hanging="567"/>
            </w:pPr>
            <w:r>
              <w:t>(a)</w:t>
            </w:r>
            <w:r>
              <w:tab/>
            </w:r>
            <w:r>
              <w:t>who receives, or is eligible to receive, funded daily independent living support; and</w:t>
            </w:r>
          </w:p>
          <w:p w:rsidR="00C94F3F" w:rsidRDefault="00C94F3F" w14:paraId="2B3D7103" w14:textId="4CCE699F">
            <w:pPr>
              <w:pStyle w:val="Tabletext"/>
              <w:ind w:left="567" w:hanging="567"/>
            </w:pPr>
            <w:r>
              <w:t>(b)</w:t>
            </w:r>
            <w:r>
              <w:tab/>
            </w:r>
            <w:r>
              <w:t>who is residing, or proposes to reside, in an SDA dwelling under an SDA residency agreement or residential rental agreement</w:t>
            </w:r>
            <w:r w:rsidR="003216DD">
              <w:t>.</w:t>
            </w:r>
          </w:p>
        </w:tc>
      </w:tr>
    </w:tbl>
    <w:p w:rsidR="00C94F3F" w:rsidP="00C94F3F" w:rsidRDefault="00C94F3F" w14:paraId="492826F3" w14:textId="77777777">
      <w:pPr>
        <w:pStyle w:val="Body"/>
        <w:rPr>
          <w:sz w:val="28"/>
          <w:szCs w:val="19"/>
        </w:rPr>
      </w:pPr>
    </w:p>
    <w:p w:rsidRPr="00C06C0F" w:rsidR="00C06C0F" w:rsidP="00C94F3F" w:rsidRDefault="00C06C0F" w14:paraId="49D24C21" w14:textId="04123281">
      <w:pPr>
        <w:pStyle w:val="Body"/>
        <w:rPr>
          <w:sz w:val="28"/>
          <w:szCs w:val="19"/>
        </w:rPr>
      </w:pPr>
      <w:r w:rsidRPr="00C06C0F">
        <w:rPr>
          <w:sz w:val="28"/>
          <w:szCs w:val="19"/>
        </w:rPr>
        <w:t xml:space="preserve">To receive this document in another format, phone (03) </w:t>
      </w:r>
      <w:r w:rsidR="00B0182D">
        <w:rPr>
          <w:sz w:val="28"/>
          <w:szCs w:val="19"/>
        </w:rPr>
        <w:t>9821 6113</w:t>
      </w:r>
      <w:r w:rsidRPr="00C06C0F">
        <w:rPr>
          <w:sz w:val="28"/>
          <w:szCs w:val="19"/>
        </w:rPr>
        <w:t xml:space="preserve"> or email the Disability Act Review Team</w:t>
      </w:r>
      <w:r w:rsidRPr="00C06C0F">
        <w:rPr>
          <w:color w:val="004C97"/>
          <w:sz w:val="28"/>
          <w:szCs w:val="19"/>
        </w:rPr>
        <w:t xml:space="preserve"> </w:t>
      </w:r>
      <w:hyperlink w:history="1" r:id="rId29">
        <w:r w:rsidRPr="00C06C0F">
          <w:rPr>
            <w:color w:val="004C97"/>
            <w:sz w:val="28"/>
            <w:szCs w:val="19"/>
            <w:u w:val="dotted"/>
          </w:rPr>
          <w:t>DisabilityActReview@dffh.vic.gov.au</w:t>
        </w:r>
      </w:hyperlink>
    </w:p>
    <w:p w:rsidRPr="00C06C0F" w:rsidR="00C06C0F" w:rsidP="00C06C0F" w:rsidRDefault="00C06C0F" w14:paraId="23BF686E" w14:textId="77777777">
      <w:pPr>
        <w:spacing w:before="120" w:after="200" w:line="340" w:lineRule="atLeast"/>
        <w:rPr>
          <w:rFonts w:ascii="Arial" w:hAnsi="Arial" w:eastAsia="Times" w:cs="Times New Roman"/>
          <w:b/>
          <w:bCs/>
          <w:sz w:val="28"/>
          <w:szCs w:val="19"/>
        </w:rPr>
      </w:pPr>
      <w:r w:rsidRPr="00C06C0F">
        <w:rPr>
          <w:rFonts w:ascii="Arial" w:hAnsi="Arial" w:eastAsia="Times" w:cs="Times New Roman"/>
          <w:b/>
          <w:bCs/>
          <w:sz w:val="28"/>
          <w:szCs w:val="19"/>
        </w:rPr>
        <w:t>Help for people with hearing or speech communication difficulties</w:t>
      </w:r>
    </w:p>
    <w:p w:rsidRPr="00C06C0F" w:rsidR="00C06C0F" w:rsidP="00C06C0F" w:rsidRDefault="00C06C0F" w14:paraId="011600A8" w14:textId="77777777">
      <w:pPr>
        <w:spacing w:before="120" w:after="200" w:line="340" w:lineRule="atLeast"/>
        <w:rPr>
          <w:rFonts w:ascii="Arial" w:hAnsi="Arial" w:eastAsia="Times" w:cs="Times New Roman"/>
          <w:sz w:val="28"/>
          <w:szCs w:val="19"/>
        </w:rPr>
      </w:pPr>
      <w:r w:rsidRPr="00C06C0F">
        <w:rPr>
          <w:rFonts w:ascii="Arial" w:hAnsi="Arial" w:eastAsia="Times" w:cs="Times New Roman"/>
          <w:sz w:val="28"/>
          <w:szCs w:val="19"/>
        </w:rPr>
        <w:t>Contact us through the National Relay Service (NRS). For more information on the NRS:</w:t>
      </w:r>
    </w:p>
    <w:p w:rsidRPr="00D85321" w:rsidR="00195216" w:rsidP="00195216" w:rsidRDefault="00195216" w14:paraId="1474CDF1" w14:textId="77777777">
      <w:pPr>
        <w:pStyle w:val="Bullet1"/>
        <w:rPr>
          <w:sz w:val="28"/>
          <w:szCs w:val="22"/>
        </w:rPr>
      </w:pPr>
      <w:r w:rsidRPr="683C66B3">
        <w:rPr>
          <w:sz w:val="28"/>
          <w:szCs w:val="28"/>
        </w:rPr>
        <w:t xml:space="preserve">visit </w:t>
      </w:r>
      <w:hyperlink r:id="rId30">
        <w:r w:rsidRPr="683C66B3">
          <w:rPr>
            <w:b/>
            <w:bCs/>
            <w:color w:val="004C97"/>
            <w:sz w:val="28"/>
            <w:szCs w:val="28"/>
            <w:u w:val="dotted"/>
          </w:rPr>
          <w:t>National Relay Service</w:t>
        </w:r>
      </w:hyperlink>
      <w:r w:rsidRPr="683C66B3">
        <w:rPr>
          <w:sz w:val="28"/>
          <w:szCs w:val="28"/>
        </w:rPr>
        <w:t xml:space="preserve"> https://www.accesshub.gov.au/about-the-nrs</w:t>
      </w:r>
    </w:p>
    <w:p w:rsidRPr="00D85321" w:rsidR="00195216" w:rsidP="00195216" w:rsidRDefault="00195216" w14:paraId="600D423B" w14:textId="77777777">
      <w:pPr>
        <w:pStyle w:val="Bullet1"/>
        <w:rPr>
          <w:sz w:val="28"/>
          <w:szCs w:val="22"/>
        </w:rPr>
      </w:pPr>
      <w:r w:rsidRPr="683C66B3">
        <w:rPr>
          <w:sz w:val="28"/>
          <w:szCs w:val="28"/>
        </w:rPr>
        <w:t>call the NRS Helpdesk on 1800 555 660.</w:t>
      </w:r>
    </w:p>
    <w:p w:rsidRPr="00C06C0F" w:rsidR="00C06C0F" w:rsidP="00C06C0F" w:rsidRDefault="00C06C0F" w14:paraId="4BE52531" w14:textId="77777777">
      <w:pPr>
        <w:spacing w:line="280" w:lineRule="atLeast"/>
        <w:rPr>
          <w:rFonts w:ascii="Arial" w:hAnsi="Arial" w:eastAsia="Times" w:cs="Times New Roman"/>
          <w:sz w:val="24"/>
          <w:szCs w:val="20"/>
        </w:rPr>
      </w:pPr>
      <w:r w:rsidRPr="00C06C0F">
        <w:rPr>
          <w:rFonts w:ascii="Arial" w:hAnsi="Arial" w:eastAsia="Times" w:cs="Times New Roman"/>
          <w:sz w:val="24"/>
          <w:szCs w:val="20"/>
        </w:rPr>
        <w:br/>
      </w:r>
      <w:r w:rsidRPr="00C06C0F">
        <w:rPr>
          <w:rFonts w:ascii="Arial" w:hAnsi="Arial" w:eastAsia="Times" w:cs="Times New Roman"/>
          <w:sz w:val="24"/>
          <w:szCs w:val="20"/>
        </w:rPr>
        <w:t>Authorised and published by the Victorian Government, 1 Treasury Place, Melbourne.</w:t>
      </w:r>
    </w:p>
    <w:p w:rsidRPr="00C06C0F" w:rsidR="00C06C0F" w:rsidP="00C06C0F" w:rsidRDefault="00C06C0F" w14:paraId="30D0A7BC" w14:textId="49ADA31D">
      <w:pPr>
        <w:spacing w:line="280" w:lineRule="atLeast"/>
        <w:rPr>
          <w:rFonts w:ascii="Arial" w:hAnsi="Arial" w:eastAsia="Times" w:cs="Times New Roman"/>
          <w:sz w:val="24"/>
          <w:szCs w:val="20"/>
        </w:rPr>
      </w:pPr>
      <w:r w:rsidRPr="00C06C0F">
        <w:rPr>
          <w:rFonts w:ascii="Arial" w:hAnsi="Arial" w:eastAsia="Times" w:cs="Times New Roman"/>
          <w:sz w:val="24"/>
          <w:szCs w:val="20"/>
        </w:rPr>
        <w:t xml:space="preserve">© State of Victoria, Australia, Department of Families, Fairness and Housing, </w:t>
      </w:r>
      <w:r w:rsidR="00D86567">
        <w:rPr>
          <w:rFonts w:ascii="Arial" w:hAnsi="Arial" w:eastAsia="Times" w:cs="Times New Roman"/>
          <w:sz w:val="24"/>
          <w:szCs w:val="20"/>
        </w:rPr>
        <w:t>May</w:t>
      </w:r>
      <w:r w:rsidRPr="00C06C0F">
        <w:rPr>
          <w:rFonts w:ascii="Arial" w:hAnsi="Arial" w:eastAsia="Times" w:cs="Times New Roman"/>
          <w:sz w:val="24"/>
          <w:szCs w:val="20"/>
        </w:rPr>
        <w:t xml:space="preserve"> 2024.</w:t>
      </w:r>
    </w:p>
    <w:p w:rsidRPr="00C06C0F" w:rsidR="00C06C0F" w:rsidP="00C06C0F" w:rsidRDefault="0066321C" w14:paraId="4FBFB675" w14:textId="3BB7E36F">
      <w:pPr>
        <w:spacing w:line="280" w:lineRule="atLeast"/>
        <w:rPr>
          <w:rFonts w:ascii="Arial" w:hAnsi="Arial" w:eastAsia="Times" w:cs="Times New Roman"/>
          <w:sz w:val="24"/>
          <w:szCs w:val="20"/>
        </w:rPr>
      </w:pPr>
      <w:r w:rsidRPr="00852FCF">
        <w:rPr>
          <w:rFonts w:ascii="Arial" w:hAnsi="Arial" w:eastAsia="Times" w:cs="Times New Roman"/>
          <w:b/>
          <w:bCs/>
          <w:sz w:val="24"/>
          <w:szCs w:val="20"/>
        </w:rPr>
        <w:t>ISBN</w:t>
      </w:r>
      <w:r w:rsidRPr="0066321C">
        <w:rPr>
          <w:rFonts w:ascii="Arial" w:hAnsi="Arial" w:eastAsia="Times" w:cs="Times New Roman"/>
          <w:sz w:val="24"/>
          <w:szCs w:val="20"/>
        </w:rPr>
        <w:t xml:space="preserve"> 978-1-76130-501-6 </w:t>
      </w:r>
      <w:r w:rsidRPr="00852FCF">
        <w:rPr>
          <w:rFonts w:ascii="Arial" w:hAnsi="Arial" w:eastAsia="Times" w:cs="Times New Roman"/>
          <w:b/>
          <w:bCs/>
          <w:sz w:val="24"/>
          <w:szCs w:val="20"/>
        </w:rPr>
        <w:t>(pdf/online/MS word)</w:t>
      </w:r>
    </w:p>
    <w:p w:rsidRPr="007B6C12" w:rsidR="00716805" w:rsidP="78CD7686" w:rsidRDefault="00C06C0F" w14:paraId="1CD8E6A9" w14:textId="6EED07CA">
      <w:pPr>
        <w:rPr>
          <w:rFonts w:ascii="Arial" w:hAnsi="Arial" w:eastAsia="Times" w:cs="Times New Roman"/>
          <w:sz w:val="24"/>
          <w:szCs w:val="24"/>
        </w:rPr>
      </w:pPr>
      <w:r w:rsidRPr="78CD7686" w:rsidR="00C06C0F">
        <w:rPr>
          <w:rFonts w:ascii="Arial" w:hAnsi="Arial" w:eastAsia="Times" w:cs="Times New Roman"/>
          <w:sz w:val="24"/>
          <w:szCs w:val="24"/>
        </w:rPr>
        <w:t>Available at the</w:t>
      </w:r>
      <w:r w:rsidRPr="78CD7686" w:rsidR="4F49BA99">
        <w:rPr>
          <w:rFonts w:ascii="Arial" w:hAnsi="Arial" w:eastAsia="Times" w:cs="Times New Roman"/>
          <w:sz w:val="24"/>
          <w:szCs w:val="24"/>
        </w:rPr>
        <w:t xml:space="preserve"> Department of Families, Fairness and Housing</w:t>
      </w:r>
      <w:r w:rsidRPr="78CD7686" w:rsidR="00C06C0F">
        <w:rPr>
          <w:rFonts w:ascii="Arial" w:hAnsi="Arial" w:eastAsia="Times" w:cs="Times New Roman"/>
          <w:sz w:val="24"/>
          <w:szCs w:val="24"/>
        </w:rPr>
        <w:t xml:space="preserve"> </w:t>
      </w:r>
      <w:hyperlink r:id="R8885b603cd714ad4">
        <w:r w:rsidRPr="78CD7686" w:rsidR="00C06C0F">
          <w:rPr>
            <w:rFonts w:ascii="Arial" w:hAnsi="Arial" w:eastAsia="Times" w:cs="Times New Roman"/>
            <w:i w:val="0"/>
            <w:iCs w:val="0"/>
            <w:color w:val="004C97"/>
            <w:sz w:val="24"/>
            <w:szCs w:val="24"/>
            <w:u w:val="dotted"/>
          </w:rPr>
          <w:t xml:space="preserve">Disability and Social Services Regulation </w:t>
        </w:r>
        <w:r w:rsidRPr="78CD7686" w:rsidR="00D86567">
          <w:rPr>
            <w:rFonts w:ascii="Arial" w:hAnsi="Arial" w:eastAsia="Times" w:cs="Times New Roman"/>
            <w:i w:val="0"/>
            <w:iCs w:val="0"/>
            <w:color w:val="004C97"/>
            <w:sz w:val="24"/>
            <w:szCs w:val="24"/>
            <w:u w:val="dotted"/>
          </w:rPr>
          <w:t xml:space="preserve">Amendment </w:t>
        </w:r>
        <w:r w:rsidRPr="78CD7686" w:rsidR="00C06C0F">
          <w:rPr>
            <w:rFonts w:ascii="Arial" w:hAnsi="Arial" w:eastAsia="Times" w:cs="Times New Roman"/>
            <w:i w:val="0"/>
            <w:iCs w:val="0"/>
            <w:color w:val="004C97"/>
            <w:sz w:val="24"/>
            <w:szCs w:val="24"/>
            <w:u w:val="dotted"/>
          </w:rPr>
          <w:t>Act 2023</w:t>
        </w:r>
        <w:r w:rsidRPr="78CD7686" w:rsidR="00C06C0F">
          <w:rPr>
            <w:rFonts w:ascii="Arial" w:hAnsi="Arial" w:eastAsia="Times" w:cs="Times New Roman"/>
            <w:i w:val="0"/>
            <w:iCs w:val="0"/>
            <w:color w:val="004C97"/>
            <w:sz w:val="24"/>
            <w:szCs w:val="24"/>
            <w:u w:val="dotted"/>
          </w:rPr>
          <w:t xml:space="preserve"> webpage</w:t>
        </w:r>
      </w:hyperlink>
      <w:r w:rsidRPr="78CD7686" w:rsidR="00C06C0F">
        <w:rPr>
          <w:rFonts w:ascii="Arial" w:hAnsi="Arial" w:eastAsia="Times" w:cs="Times New Roman"/>
          <w:i w:val="0"/>
          <w:iCs w:val="0"/>
          <w:sz w:val="24"/>
          <w:szCs w:val="24"/>
        </w:rPr>
        <w:t xml:space="preserve"> </w:t>
      </w:r>
      <w:r>
        <w:br/>
      </w:r>
      <w:r w:rsidRPr="78CD7686" w:rsidR="5F1DE198">
        <w:rPr>
          <w:rFonts w:ascii="Arial" w:hAnsi="Arial" w:eastAsia="Times" w:cs="Times New Roman"/>
          <w:sz w:val="24"/>
          <w:szCs w:val="24"/>
        </w:rPr>
        <w:t>&lt;</w:t>
      </w:r>
      <w:r w:rsidRPr="78CD7686" w:rsidR="00C06C0F">
        <w:rPr>
          <w:rFonts w:ascii="Arial" w:hAnsi="Arial" w:eastAsia="Times" w:cs="Times New Roman"/>
          <w:sz w:val="24"/>
          <w:szCs w:val="24"/>
        </w:rPr>
        <w:t>https://www.dffh.vic.gov.au/disability-and-social-services-regulation-amendment-act-2023</w:t>
      </w:r>
      <w:r w:rsidRPr="78CD7686" w:rsidR="1082E90A">
        <w:rPr>
          <w:rFonts w:ascii="Arial" w:hAnsi="Arial" w:eastAsia="Times" w:cs="Times New Roman"/>
          <w:sz w:val="24"/>
          <w:szCs w:val="24"/>
        </w:rPr>
        <w:t>&gt;</w:t>
      </w:r>
    </w:p>
    <w:sectPr w:rsidRPr="007B6C12" w:rsidR="00716805" w:rsidSect="00580354">
      <w:headerReference w:type="default" r:id="rId32"/>
      <w:footerReference w:type="default" r:id="rId33"/>
      <w:pgSz w:w="11906" w:h="16838" w:orient="portrait" w:code="9"/>
      <w:pgMar w:top="1305" w:right="720" w:bottom="720" w:left="720" w:header="680" w:footer="118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58B0" w:rsidRDefault="00B358B0" w14:paraId="45A07469" w14:textId="77777777">
      <w:r>
        <w:separator/>
      </w:r>
    </w:p>
    <w:p w:rsidR="00B358B0" w:rsidRDefault="00B358B0" w14:paraId="379EB963" w14:textId="77777777"/>
  </w:endnote>
  <w:endnote w:type="continuationSeparator" w:id="0">
    <w:p w:rsidR="00B358B0" w:rsidRDefault="00B358B0" w14:paraId="6D94509B" w14:textId="77777777">
      <w:r>
        <w:continuationSeparator/>
      </w:r>
    </w:p>
    <w:p w:rsidR="00B358B0" w:rsidRDefault="00B358B0" w14:paraId="6DE53BE6" w14:textId="77777777"/>
  </w:endnote>
  <w:endnote w:type="continuationNotice" w:id="1">
    <w:p w:rsidR="00B358B0" w:rsidRDefault="00B358B0" w14:paraId="0DF91C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31A70" w:rsidRDefault="00A07299" w14:paraId="1A7612A9" w14:textId="0129DCA1">
    <w:pPr>
      <w:pStyle w:val="Footer"/>
    </w:pPr>
    <w:r>
      <w:rPr>
        <w:noProof/>
        <w:lang w:eastAsia="en-AU"/>
      </w:rPr>
      <mc:AlternateContent>
        <mc:Choice Requires="wps">
          <w:drawing>
            <wp:anchor distT="0" distB="0" distL="114300" distR="114300" simplePos="0" relativeHeight="251658240" behindDoc="0" locked="0" layoutInCell="0" allowOverlap="1" wp14:anchorId="5E920949" wp14:editId="48116742">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07299" w:rsidR="00A07299" w:rsidP="00A07299" w:rsidRDefault="00A07299" w14:paraId="473D677D" w14:textId="06C8DCDD">
                          <w:pPr>
                            <w:spacing w:after="0"/>
                            <w:jc w:val="center"/>
                            <w:rPr>
                              <w:rFonts w:ascii="Arial Black" w:hAnsi="Arial Black"/>
                              <w:color w:val="000000"/>
                              <w:sz w:val="20"/>
                            </w:rPr>
                          </w:pPr>
                          <w:r w:rsidRPr="00A072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4698266">
            <v:shapetype id="_x0000_t202" coordsize="21600,21600" o:spt="202" path="m,l,21600r21600,l21600,xe" w14:anchorId="5E920949">
              <v:stroke joinstyle="miter"/>
              <v:path gradientshapeok="t" o:connecttype="rect"/>
            </v:shapetype>
            <v:shape id="Text Box 2"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A07299" w:rsidR="00A07299" w:rsidP="00A07299" w:rsidRDefault="00A07299" w14:paraId="08CE8BEA" w14:textId="06C8DCDD">
                    <w:pPr>
                      <w:spacing w:after="0"/>
                      <w:jc w:val="center"/>
                      <w:rPr>
                        <w:rFonts w:ascii="Arial Black" w:hAnsi="Arial Black"/>
                        <w:color w:val="000000"/>
                        <w:sz w:val="20"/>
                      </w:rPr>
                    </w:pPr>
                    <w:r w:rsidRPr="00A0729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58B0" w:rsidP="00207717" w:rsidRDefault="00B358B0" w14:paraId="29C9B003" w14:textId="77777777">
      <w:pPr>
        <w:spacing w:before="120"/>
      </w:pPr>
      <w:r>
        <w:separator/>
      </w:r>
    </w:p>
  </w:footnote>
  <w:footnote w:type="continuationSeparator" w:id="0">
    <w:p w:rsidR="00B358B0" w:rsidRDefault="00B358B0" w14:paraId="6BC108DA" w14:textId="77777777">
      <w:r>
        <w:continuationSeparator/>
      </w:r>
    </w:p>
    <w:p w:rsidR="00B358B0" w:rsidRDefault="00B358B0" w14:paraId="677D7367" w14:textId="77777777"/>
  </w:footnote>
  <w:footnote w:type="continuationNotice" w:id="1">
    <w:p w:rsidR="00B358B0" w:rsidRDefault="00B358B0" w14:paraId="54E6F6A5" w14:textId="77777777">
      <w:pPr>
        <w:spacing w:after="0" w:line="240" w:lineRule="auto"/>
      </w:pPr>
    </w:p>
  </w:footnote>
  <w:footnote w:id="2">
    <w:p w:rsidR="00EA4662" w:rsidP="00EA4662" w:rsidRDefault="00EA4662" w14:paraId="00287CC1" w14:textId="6D8FE5E5">
      <w:pPr>
        <w:pStyle w:val="FootnoteText"/>
      </w:pPr>
      <w:r>
        <w:rPr>
          <w:rStyle w:val="FootnoteReference"/>
        </w:rPr>
        <w:footnoteRef/>
      </w:r>
      <w:r>
        <w:t xml:space="preserve"> </w:t>
      </w:r>
      <w:r w:rsidRPr="002B7713" w:rsidR="002B7713">
        <w:t>https://www.consumer.vic.gov.au/housing/specialist-disability-accommodation</w:t>
      </w:r>
    </w:p>
  </w:footnote>
  <w:footnote w:id="3">
    <w:p w:rsidR="001848BF" w:rsidRDefault="001848BF" w14:paraId="1309EB63" w14:textId="471815F6">
      <w:pPr>
        <w:pStyle w:val="FootnoteText"/>
      </w:pPr>
      <w:r>
        <w:rPr>
          <w:rStyle w:val="FootnoteReference"/>
        </w:rPr>
        <w:footnoteRef/>
      </w:r>
      <w:r>
        <w:t xml:space="preserve"> </w:t>
      </w:r>
      <w:r w:rsidRPr="002B7713" w:rsidR="002B7713">
        <w:t>https://www.consumer.vic.gov.au/housing/specialist-disability-accommodation</w:t>
      </w:r>
    </w:p>
  </w:footnote>
  <w:footnote w:id="4">
    <w:p w:rsidR="00451942" w:rsidRDefault="00451942" w14:paraId="3D5AF84F" w14:textId="4DA7CFE1">
      <w:pPr>
        <w:pStyle w:val="FootnoteText"/>
      </w:pPr>
      <w:r>
        <w:rPr>
          <w:rStyle w:val="FootnoteReference"/>
        </w:rPr>
        <w:footnoteRef/>
      </w:r>
      <w:r>
        <w:t xml:space="preserve"> </w:t>
      </w:r>
      <w:r w:rsidRPr="002B7713" w:rsidR="002B7713">
        <w:t>https://www.consumer.vic.gov.au/housing/specialist-disability-accommodation</w:t>
      </w:r>
    </w:p>
  </w:footnote>
  <w:footnote w:id="5">
    <w:p w:rsidR="00583D7C" w:rsidRDefault="00583D7C" w14:paraId="7E285856" w14:textId="0230F8F6">
      <w:pPr>
        <w:pStyle w:val="FootnoteText"/>
      </w:pPr>
      <w:r>
        <w:rPr>
          <w:rStyle w:val="FootnoteReference"/>
        </w:rPr>
        <w:footnoteRef/>
      </w:r>
      <w:r>
        <w:t xml:space="preserve"> </w:t>
      </w:r>
      <w:r w:rsidRPr="002B7713" w:rsidR="002B7713">
        <w:t>https://www.consumer.vic.gov.au/housing/specialist-disability-accommodation</w:t>
      </w:r>
    </w:p>
  </w:footnote>
  <w:footnote w:id="6">
    <w:p w:rsidR="00EA4662" w:rsidP="00EA4662" w:rsidRDefault="00EA4662" w14:paraId="3248B5DD" w14:textId="025FB142">
      <w:pPr>
        <w:pStyle w:val="FootnoteText"/>
      </w:pPr>
      <w:r>
        <w:rPr>
          <w:rStyle w:val="FootnoteReference"/>
        </w:rPr>
        <w:footnoteRef/>
      </w:r>
      <w:r>
        <w:t xml:space="preserve"> </w:t>
      </w:r>
      <w:r w:rsidRPr="002B7713" w:rsidR="002B7713">
        <w:t>https://www.consumer.vic.gov.au/housing/specialist-disability-accommodation</w:t>
      </w:r>
    </w:p>
  </w:footnote>
  <w:footnote w:id="7">
    <w:p w:rsidR="00EA4662" w:rsidP="00EA4662" w:rsidRDefault="00EA4662" w14:paraId="4824D120" w14:textId="61E908A6">
      <w:pPr>
        <w:pStyle w:val="FootnoteText"/>
      </w:pPr>
      <w:r>
        <w:rPr>
          <w:rStyle w:val="FootnoteReference"/>
        </w:rPr>
        <w:footnoteRef/>
      </w:r>
      <w:r>
        <w:t xml:space="preserve"> </w:t>
      </w:r>
      <w:r w:rsidRPr="002B7713" w:rsidR="002B7713">
        <w:t>https://www.consumer.vic.gov.au/housing/specialist-disability-accommodation</w:t>
      </w:r>
    </w:p>
  </w:footnote>
  <w:footnote w:id="8">
    <w:p w:rsidR="00A341C8" w:rsidRDefault="00A341C8" w14:paraId="67F5C440" w14:textId="1C9D67D0">
      <w:pPr>
        <w:pStyle w:val="FootnoteText"/>
      </w:pPr>
      <w:r>
        <w:rPr>
          <w:rStyle w:val="FootnoteReference"/>
        </w:rPr>
        <w:footnoteRef/>
      </w:r>
      <w:r>
        <w:t xml:space="preserve"> </w:t>
      </w:r>
      <w:r w:rsidRPr="00A341C8">
        <w:t>https://www.dffh.vic.gov.au/disability-and-social-services-regulation-amendment-act-2023</w:t>
      </w:r>
    </w:p>
  </w:footnote>
  <w:footnote w:id="9">
    <w:p w:rsidR="00982ACA" w:rsidP="00982ACA" w:rsidRDefault="00982ACA" w14:paraId="3E2BC36A" w14:textId="172A82A3">
      <w:pPr>
        <w:pStyle w:val="FootnoteText"/>
      </w:pPr>
      <w:r>
        <w:rPr>
          <w:rStyle w:val="FootnoteReference"/>
        </w:rPr>
        <w:footnoteRef/>
      </w:r>
      <w:r>
        <w:t xml:space="preserve"> </w:t>
      </w:r>
      <w:r w:rsidRPr="002B7713" w:rsidR="002B7713">
        <w:t>https://www.consumer.vic.gov.au/housing/specialist-disability-accommodation</w:t>
      </w:r>
    </w:p>
  </w:footnote>
  <w:footnote w:id="10">
    <w:p w:rsidR="006C749C" w:rsidRDefault="006C749C" w14:paraId="6B47B454" w14:textId="080874B0">
      <w:pPr>
        <w:pStyle w:val="FootnoteText"/>
      </w:pPr>
      <w:r>
        <w:rPr>
          <w:rStyle w:val="FootnoteReference"/>
        </w:rPr>
        <w:footnoteRef/>
      </w:r>
      <w:r>
        <w:t xml:space="preserve"> </w:t>
      </w:r>
      <w:r w:rsidRPr="006C749C">
        <w:t>https://www.dffh.vic.gov.au/changes-residential-tenancies-act-1997</w:t>
      </w:r>
    </w:p>
  </w:footnote>
  <w:footnote w:id="11">
    <w:p w:rsidR="00EA4662" w:rsidP="00EA4662" w:rsidRDefault="00EA4662" w14:paraId="48D9188F" w14:textId="16C6CB02">
      <w:pPr>
        <w:pStyle w:val="FootnoteText"/>
      </w:pPr>
      <w:r>
        <w:rPr>
          <w:rStyle w:val="FootnoteReference"/>
        </w:rPr>
        <w:footnoteRef/>
      </w:r>
      <w:r>
        <w:t xml:space="preserve"> </w:t>
      </w:r>
      <w:r w:rsidRPr="002B7713" w:rsidR="002B7713">
        <w:t>https://www.consumer.vic.gov.au/housing/specialist-disability-accommodation</w:t>
      </w:r>
    </w:p>
  </w:footnote>
  <w:footnote w:id="12">
    <w:p w:rsidR="00D40519" w:rsidRDefault="00D40519" w14:paraId="61AC7132" w14:textId="1E97A66E">
      <w:pPr>
        <w:pStyle w:val="FootnoteText"/>
      </w:pPr>
      <w:r>
        <w:rPr>
          <w:rStyle w:val="FootnoteReference"/>
        </w:rPr>
        <w:footnoteRef/>
      </w:r>
      <w:r>
        <w:t xml:space="preserve"> </w:t>
      </w:r>
      <w:r w:rsidRPr="00D40519">
        <w:t>https://www.publicadvocate.vic.gov.au/your-rights/in-your-home/community-visitors</w:t>
      </w:r>
    </w:p>
  </w:footnote>
  <w:footnote w:id="13">
    <w:p w:rsidR="0089023F" w:rsidP="0089023F" w:rsidRDefault="0089023F" w14:paraId="209D11B5" w14:textId="02461469">
      <w:pPr>
        <w:pStyle w:val="FootnoteText"/>
      </w:pPr>
      <w:r>
        <w:rPr>
          <w:rStyle w:val="FootnoteReference"/>
        </w:rPr>
        <w:footnoteRef/>
      </w:r>
      <w:r>
        <w:t xml:space="preserve"> </w:t>
      </w:r>
      <w:r w:rsidRPr="008871ED">
        <w:t>https://www.dffh.vic.gov.au/disability-and-social-services-regulation-amendment-act-2023</w:t>
      </w:r>
    </w:p>
  </w:footnote>
  <w:footnote w:id="14">
    <w:p w:rsidRPr="00C35993" w:rsidR="000110F1" w:rsidP="000110F1" w:rsidRDefault="000110F1" w14:paraId="18C1B12A" w14:textId="1CCB62D0">
      <w:pPr>
        <w:pStyle w:val="FootnoteText"/>
        <w:rPr>
          <w:szCs w:val="22"/>
        </w:rPr>
      </w:pPr>
      <w:r w:rsidRPr="00C35993">
        <w:rPr>
          <w:rStyle w:val="FootnoteReference"/>
          <w:szCs w:val="22"/>
        </w:rPr>
        <w:footnoteRef/>
      </w:r>
      <w:r w:rsidRPr="00C35993">
        <w:rPr>
          <w:szCs w:val="22"/>
        </w:rPr>
        <w:t xml:space="preserve"> https://www.legislation.vic.gov.au/as-made/acts/disability-and-social-services-regulation-amendment-act-2023</w:t>
      </w:r>
    </w:p>
  </w:footnote>
  <w:footnote w:id="15">
    <w:p w:rsidRPr="00C35993" w:rsidR="000110F1" w:rsidP="0089023F" w:rsidRDefault="000110F1" w14:paraId="452A72F0" w14:textId="5F1F3AEC">
      <w:pPr>
        <w:pStyle w:val="FootnoteText"/>
        <w:ind w:left="720" w:hanging="720"/>
        <w:rPr>
          <w:szCs w:val="22"/>
        </w:rPr>
      </w:pPr>
      <w:r w:rsidRPr="00C35993">
        <w:rPr>
          <w:rStyle w:val="FootnoteReference"/>
          <w:szCs w:val="22"/>
        </w:rPr>
        <w:footnoteRef/>
      </w:r>
      <w:r w:rsidRPr="00C35993">
        <w:rPr>
          <w:szCs w:val="22"/>
        </w:rPr>
        <w:t xml:space="preserve"> https://www.legislation.vic.gov.au/in-force/acts/disability-act-2006</w:t>
      </w:r>
    </w:p>
  </w:footnote>
  <w:footnote w:id="16">
    <w:p w:rsidRPr="00C35993" w:rsidR="00C35993" w:rsidRDefault="00C35993" w14:paraId="23F59DCD" w14:textId="2A3AFAA4">
      <w:pPr>
        <w:pStyle w:val="FootnoteText"/>
      </w:pPr>
      <w:r w:rsidRPr="00C35993">
        <w:rPr>
          <w:rStyle w:val="FootnoteReference"/>
          <w:szCs w:val="22"/>
        </w:rPr>
        <w:footnoteRef/>
      </w:r>
      <w:r w:rsidRPr="00C35993">
        <w:rPr>
          <w:rStyle w:val="FootnoteReference"/>
          <w:szCs w:val="22"/>
        </w:rPr>
        <w:t xml:space="preserve"> </w:t>
      </w:r>
      <w:r w:rsidRPr="00C35993">
        <w:rPr>
          <w:szCs w:val="22"/>
        </w:rPr>
        <w:t xml:space="preserve"> https://www.legislation.gov.au/C2013A00020/latest/text</w:t>
      </w:r>
    </w:p>
  </w:footnote>
  <w:footnote w:id="17">
    <w:p w:rsidRPr="00C35993" w:rsidR="002F6581" w:rsidRDefault="002F6581" w14:paraId="565F879B" w14:textId="3C345B08">
      <w:pPr>
        <w:pStyle w:val="FootnoteText"/>
        <w:rPr>
          <w:szCs w:val="22"/>
        </w:rPr>
      </w:pPr>
      <w:r w:rsidRPr="00C35993">
        <w:rPr>
          <w:rStyle w:val="FootnoteReference"/>
          <w:szCs w:val="22"/>
        </w:rPr>
        <w:footnoteRef/>
      </w:r>
      <w:r w:rsidRPr="00C35993">
        <w:rPr>
          <w:szCs w:val="22"/>
        </w:rPr>
        <w:t xml:space="preserve"> https://www.legislation.vic.gov.au/in-force/acts/residential-tenancies-act-1997/104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63F0" w:rsidR="00ED596C" w:rsidP="001C7128" w:rsidRDefault="00914336" w14:paraId="1A842F4E" w14:textId="2D078F9B">
    <w:pPr>
      <w:pStyle w:val="Header"/>
      <w:rPr>
        <w:i/>
      </w:rPr>
    </w:pPr>
    <w:r w:rsidRPr="005D63F0">
      <w:t xml:space="preserve">Overview of changes to </w:t>
    </w:r>
    <w:r w:rsidR="009B3C6E">
      <w:t xml:space="preserve">the </w:t>
    </w:r>
    <w:r w:rsidRPr="009B3C6E" w:rsidR="009B3C6E">
      <w:rPr>
        <w:i/>
        <w:iCs/>
      </w:rPr>
      <w:t>Residential Tenancies Act 1997</w:t>
    </w:r>
  </w:p>
  <w:p w:rsidRPr="00526C9E" w:rsidR="005F7FF8" w:rsidP="001C7128" w:rsidRDefault="00D90238" w14:paraId="01ED6264" w14:textId="59AD7A08">
    <w:pPr>
      <w:pStyle w:val="Header"/>
      <w:rPr>
        <w:b w:val="0"/>
      </w:rPr>
    </w:pPr>
    <w:r w:rsidRPr="005D63F0">
      <w:rPr>
        <w:i/>
        <w:iCs/>
      </w:rPr>
      <w:t>Disability and Social Services Regulation Amendment Act 2023</w:t>
    </w:r>
    <w:r w:rsidRPr="005D63F0" w:rsidR="00B14B5F">
      <w:ptab w:alignment="right" w:relativeTo="margin" w:leader="none"/>
    </w:r>
    <w:r w:rsidRPr="003357E3" w:rsidR="001C7128">
      <w:rPr>
        <w:b w:val="0"/>
      </w:rPr>
      <w:fldChar w:fldCharType="begin"/>
    </w:r>
    <w:r w:rsidRPr="005D63F0" w:rsidR="001C7128">
      <w:rPr>
        <w:color w:val="auto"/>
      </w:rPr>
      <w:instrText xml:space="preserve"> PAGE </w:instrText>
    </w:r>
    <w:r w:rsidRPr="003357E3" w:rsidR="001C7128">
      <w:rPr>
        <w:b w:val="0"/>
      </w:rPr>
      <w:fldChar w:fldCharType="separate"/>
    </w:r>
    <w:r w:rsidRPr="009F2A7A" w:rsidR="001C7128">
      <w:rPr>
        <w:b w:val="0"/>
        <w:color w:val="auto"/>
      </w:rPr>
      <w:t>7</w:t>
    </w:r>
    <w:r w:rsidRPr="003357E3" w:rsidR="001C7128">
      <w:rPr>
        <w:b w:val="0"/>
      </w:rPr>
      <w:fldChar w:fldCharType="end"/>
    </w:r>
  </w:p>
</w:hdr>
</file>

<file path=word/intelligence2.xml><?xml version="1.0" encoding="utf-8"?>
<int2:intelligence xmlns:int2="http://schemas.microsoft.com/office/intelligence/2020/intelligence" xmlns:oel="http://schemas.microsoft.com/office/2019/extlst">
  <int2:observations>
    <int2:entireDocument int2:id="iX1aBJRR">
      <int2:extLst>
        <oel:ext uri="E302BA01-7950-474C-9AD3-286E660C40A8">
          <int2:similaritySummary int2:version="1" int2:runId="1675117163896" int2:tilesCheckedInThisRun="99" int2:totalNumOfTiles="99" int2:similarityAnnotationCount="1" int2:numWords="2346" int2:numFlaggedWords="11"/>
        </oel:ext>
      </int2:extLst>
    </int2:entireDocument>
  </int2:observations>
  <int2:intelligenceSettings>
    <int2:extLst>
      <oel:ext uri="74B372B9-2EFF-4315-9A3F-32BA87CA82B1">
        <int2:goals int2:version="1" int2:formality="1"/>
      </oel:ext>
    </int2:extLst>
  </int2:intelligenceSettings>
  <int2:onDemandWorkflows>
    <int2:onDemandWorkflow int2:type="SimilarityCheck" int2:paragraphVersions="2E47B281-77777777 0F97BF28-3C36AF2D 7D8B897B-1893EC17 6FBDC4E5-77777777 20F8C35C-77777777 019514FC-77777777 7D62542A-77777777 33340E7C-77777777 204C6BE1-77777777 7C38C27F-77777777 288A85A3-77777777 65358FA9-77777777 4918ED56-57CEF21C 7BB0DA7C-77777777 6A08B241-77777777 4B813CB2-77777777 4A666495-77777777 4BCC10B1-77777777 6ADC8FEE-77777777 209BEDDB-77777777 49062212-77777777 775A6117-77777777 300AEDBA-77777777 21D96D16-77777777 3C62607B-77777777 445F8D72-77777777 54EAE7A3-77777777 59A48F8E-52C531AE 192412A1-77777777 17EB6E60-0B6D6168 3DF62215-77777777 268644DD-77777777 266ABC72-00CDEA69 249DD34B-4ABACA65 62F1B48A-0D90B80C 798AE7C0-6DA80F09 20C71DF5-0AA719F7 4DD725A5-5E4006E8 53A845E3-493E9594 54966ED2-7870E9B8 448E3B14-4B67F8F6 1F7D43B0-23D81BC0 239A6D1D-34AD496D 0C9B4612-64921625 489C1FA8-0A866B53 694FCFDB-556AE0BF 1ED189A0-067DD29B 0EC055D8-31D5F0EA 5A5B52DB-0EDC2201 427A1862-284D4E84 5356F968-5064456B 23C65DB9-77777777 5561E598-011839B3 39638F8B-38B10450 3B869460-26715F8D 34F6E84A-1F8FCA50 75295F33-094DA940 4F361526-6BAC0E67 7A0018AE-2D64FC49 70BFD1DB-17CD734D 5758F7A4-2358A7DD 0B213FE0-2AD3464A 20A0BFAA-4951D089 51E5AD28-08B6AFDA 2D7EC1C8-00BEE810 72DCDB1D-4B6AD195 220DD87B-336A9B67 0836A9AC-5DCEFF3C 150A7B6F-6E37294F 4E2E205F-7D39D6E7 4CACE298-3AA39552 1F7DC639-2606E766 6CD3205C-6C16D6A2 7A8D491A-5F9D6F0B 70DAF6E5-5FFDD986 1B3E9D7D-0B1D4363 6327F84E-5DAE2C29 0F6DB01D-3A7B95EB 63600ADE-70B297F1 768DD444-442E1F6E 591D2B4D-05A4B1DD 4F131B50-7E0E7BF8 79F6946E-5DEEC807 03A93BF9-42CAE7A0 3C08A5D8-77777777 32CF2AF5-77777777 4E9472EA-144E48CD 42CA7EE5-77777777 627CF379-2A1D5820 25B89C1C-6CAE615E 147FE17C-6D63B26E 40CA234A-663E80E0 69C1F699-0C19471F 199D3422-7C0B6305 6681886F-2730E89A 189AC93F-379DE3B0 1BBC9EBD-77777777 226C4459-788D760A 42038A48-2E486FEF 04045EE1-77777777 0C7BDFCD-4057BF7A 46F666B3-469D0032 2E90C5E4-28AE43FE 1F7F9C71-52FA845C 560BC610-2565FBA8 0EEB9DF8-7F1767FC 5D09BDC5-77777777 2A191D2E-65ADC178 445E60A7-00A3B12A 6AC2352E-3284D27E 40BB04CA-60FE7BBE 75A547F6-3B385B0D 1D5F772B-0A6F1B5D 19853FD0-564F1F70 4BE91931-6E23DBC1 3266B290-60CA9A7C 2C8BFD0A-77777777 11AB74B1-08E37E42 46CA51E1-77777777 5846A4D6-24E07BE2 5F170ECC-3F59FFF1 43C75061-35864D41 20DA9125-02F803B3 2FA74F9A-5A2CE9CE 7EAC4571-037C2217 5F2BC38A-243B30D4 77BA74E1-6824E98C 1DAD51B3-0DCCF682 12F9D3F2-31772740 08E23AC9-76D4B4F8 002CF1D1-5A400062 6855C658-3EA2EAF9 70D787A5-6C82A486 7B6FC4D7-6479182E 019514FC-77777777 31FAE2F8-77777777 1A7612A9-77777777 33340E7C-77777777 5B8A2D23-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E6D93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681D60"/>
    <w:multiLevelType w:val="hybridMultilevel"/>
    <w:tmpl w:val="292ABD14"/>
    <w:styleLink w:val="ZZNumbersloweralph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B810290"/>
    <w:multiLevelType w:val="hybridMultilevel"/>
    <w:tmpl w:val="8FDEACFA"/>
    <w:lvl w:ilvl="0" w:tplc="C6DC85F4">
      <w:start w:val="1"/>
      <w:numFmt w:val="bullet"/>
      <w:pStyle w:val="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8D43DB"/>
    <w:multiLevelType w:val="multilevel"/>
    <w:tmpl w:val="8B3CE87A"/>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46BCC"/>
    <w:multiLevelType w:val="hybridMultilevel"/>
    <w:tmpl w:val="86A880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EC54A41"/>
    <w:multiLevelType w:val="multilevel"/>
    <w:tmpl w:val="986E24B0"/>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BE678EB"/>
    <w:multiLevelType w:val="hybridMultilevel"/>
    <w:tmpl w:val="5FE8CF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FDF0E17"/>
    <w:multiLevelType w:val="hybridMultilevel"/>
    <w:tmpl w:val="D466F51C"/>
    <w:lvl w:ilvl="0" w:tplc="E69EDEDA">
      <w:start w:val="1"/>
      <w:numFmt w:val="bullet"/>
      <w:lvlText w:val=""/>
      <w:lvlJc w:val="left"/>
      <w:pPr>
        <w:ind w:left="720" w:hanging="360"/>
      </w:pPr>
      <w:rPr>
        <w:rFonts w:hint="default" w:ascii="Symbol" w:hAnsi="Symbol"/>
      </w:rPr>
    </w:lvl>
    <w:lvl w:ilvl="1" w:tplc="CD12EABA">
      <w:start w:val="1"/>
      <w:numFmt w:val="bullet"/>
      <w:lvlText w:val="o"/>
      <w:lvlJc w:val="left"/>
      <w:pPr>
        <w:ind w:left="1440" w:hanging="360"/>
      </w:pPr>
      <w:rPr>
        <w:rFonts w:hint="default" w:ascii="Courier New" w:hAnsi="Courier New"/>
      </w:rPr>
    </w:lvl>
    <w:lvl w:ilvl="2" w:tplc="976802E8">
      <w:start w:val="1"/>
      <w:numFmt w:val="bullet"/>
      <w:lvlText w:val=""/>
      <w:lvlJc w:val="left"/>
      <w:pPr>
        <w:ind w:left="2160" w:hanging="360"/>
      </w:pPr>
      <w:rPr>
        <w:rFonts w:hint="default" w:ascii="Wingdings" w:hAnsi="Wingdings"/>
      </w:rPr>
    </w:lvl>
    <w:lvl w:ilvl="3" w:tplc="E5DA5F1A">
      <w:start w:val="1"/>
      <w:numFmt w:val="bullet"/>
      <w:lvlText w:val=""/>
      <w:lvlJc w:val="left"/>
      <w:pPr>
        <w:ind w:left="2880" w:hanging="360"/>
      </w:pPr>
      <w:rPr>
        <w:rFonts w:hint="default" w:ascii="Symbol" w:hAnsi="Symbol"/>
      </w:rPr>
    </w:lvl>
    <w:lvl w:ilvl="4" w:tplc="C57E0A78">
      <w:start w:val="1"/>
      <w:numFmt w:val="bullet"/>
      <w:lvlText w:val="o"/>
      <w:lvlJc w:val="left"/>
      <w:pPr>
        <w:ind w:left="3600" w:hanging="360"/>
      </w:pPr>
      <w:rPr>
        <w:rFonts w:hint="default" w:ascii="Courier New" w:hAnsi="Courier New"/>
      </w:rPr>
    </w:lvl>
    <w:lvl w:ilvl="5" w:tplc="ED102A92">
      <w:start w:val="1"/>
      <w:numFmt w:val="bullet"/>
      <w:lvlText w:val=""/>
      <w:lvlJc w:val="left"/>
      <w:pPr>
        <w:ind w:left="4320" w:hanging="360"/>
      </w:pPr>
      <w:rPr>
        <w:rFonts w:hint="default" w:ascii="Wingdings" w:hAnsi="Wingdings"/>
      </w:rPr>
    </w:lvl>
    <w:lvl w:ilvl="6" w:tplc="788AB8FE">
      <w:start w:val="1"/>
      <w:numFmt w:val="bullet"/>
      <w:lvlText w:val=""/>
      <w:lvlJc w:val="left"/>
      <w:pPr>
        <w:ind w:left="5040" w:hanging="360"/>
      </w:pPr>
      <w:rPr>
        <w:rFonts w:hint="default" w:ascii="Symbol" w:hAnsi="Symbol"/>
      </w:rPr>
    </w:lvl>
    <w:lvl w:ilvl="7" w:tplc="68DAF5C4">
      <w:start w:val="1"/>
      <w:numFmt w:val="bullet"/>
      <w:lvlText w:val="o"/>
      <w:lvlJc w:val="left"/>
      <w:pPr>
        <w:ind w:left="5760" w:hanging="360"/>
      </w:pPr>
      <w:rPr>
        <w:rFonts w:hint="default" w:ascii="Courier New" w:hAnsi="Courier New"/>
      </w:rPr>
    </w:lvl>
    <w:lvl w:ilvl="8" w:tplc="F49A53A6">
      <w:start w:val="1"/>
      <w:numFmt w:val="bullet"/>
      <w:lvlText w:val=""/>
      <w:lvlJc w:val="left"/>
      <w:pPr>
        <w:ind w:left="6480" w:hanging="360"/>
      </w:pPr>
      <w:rPr>
        <w:rFonts w:hint="default" w:ascii="Wingdings" w:hAnsi="Wingdings"/>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CCE272B2"/>
    <w:styleLink w:val="ZZBullets"/>
    <w:lvl w:ilvl="0">
      <w:start w:val="1"/>
      <w:numFmt w:val="bullet"/>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7477EEE"/>
    <w:multiLevelType w:val="hybridMultilevel"/>
    <w:tmpl w:val="A33A89B2"/>
    <w:lvl w:ilvl="0" w:tplc="019E47A4">
      <w:start w:val="1"/>
      <w:numFmt w:val="bullet"/>
      <w:pStyle w:val="Bullet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CF90B6C"/>
    <w:multiLevelType w:val="hybridMultilevel"/>
    <w:tmpl w:val="98DA865C"/>
    <w:lvl w:ilvl="0" w:tplc="FFFFFFFF">
      <w:start w:val="1"/>
      <w:numFmt w:val="bullet"/>
      <w:pStyle w:val="DHHSbullet14p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60282895"/>
    <w:multiLevelType w:val="hybridMultilevel"/>
    <w:tmpl w:val="5296AEF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3" w15:restartNumberingAfterBreak="0">
    <w:nsid w:val="60A27CE7"/>
    <w:multiLevelType w:val="multilevel"/>
    <w:tmpl w:val="3DECE490"/>
    <w:lvl w:ilvl="0">
      <w:start w:val="1"/>
      <w:numFmt w:val="decimal"/>
      <w:pStyle w:val="Heading1"/>
      <w:lvlText w:val="%1."/>
      <w:lvlJc w:val="left"/>
      <w:pPr>
        <w:ind w:left="1080" w:hanging="720"/>
      </w:pPr>
      <w:rPr>
        <w:rFonts w:hint="default"/>
      </w:rPr>
    </w:lvl>
    <w:lvl w:ilvl="1">
      <w:start w:val="1"/>
      <w:numFmt w:val="decimal"/>
      <w:isLgl/>
      <w:lvlText w:val="%1.%2"/>
      <w:lvlJc w:val="left"/>
      <w:pPr>
        <w:ind w:left="960" w:hanging="60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74345A"/>
    <w:multiLevelType w:val="multilevel"/>
    <w:tmpl w:val="3A401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64B626D"/>
    <w:multiLevelType w:val="hybridMultilevel"/>
    <w:tmpl w:val="6C86D9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DBC7304"/>
    <w:multiLevelType w:val="hybridMultilevel"/>
    <w:tmpl w:val="55449588"/>
    <w:lvl w:ilvl="0" w:tplc="4C00F338">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335012">
    <w:abstractNumId w:val="9"/>
  </w:num>
  <w:num w:numId="2" w16cid:durableId="1827697676">
    <w:abstractNumId w:val="8"/>
  </w:num>
  <w:num w:numId="3" w16cid:durableId="590938782">
    <w:abstractNumId w:val="14"/>
  </w:num>
  <w:num w:numId="4" w16cid:durableId="895512788">
    <w:abstractNumId w:val="5"/>
  </w:num>
  <w:num w:numId="5" w16cid:durableId="193468771">
    <w:abstractNumId w:val="1"/>
  </w:num>
  <w:num w:numId="6" w16cid:durableId="1504933591">
    <w:abstractNumId w:val="2"/>
  </w:num>
  <w:num w:numId="7" w16cid:durableId="993607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126337">
    <w:abstractNumId w:val="10"/>
  </w:num>
  <w:num w:numId="9" w16cid:durableId="497968087">
    <w:abstractNumId w:val="11"/>
  </w:num>
  <w:num w:numId="10" w16cid:durableId="117990488">
    <w:abstractNumId w:val="0"/>
  </w:num>
  <w:num w:numId="11" w16cid:durableId="528686444">
    <w:abstractNumId w:val="13"/>
  </w:num>
  <w:num w:numId="12" w16cid:durableId="1069963011">
    <w:abstractNumId w:val="6"/>
  </w:num>
  <w:num w:numId="13" w16cid:durableId="907837077">
    <w:abstractNumId w:val="16"/>
  </w:num>
  <w:num w:numId="14" w16cid:durableId="886992170">
    <w:abstractNumId w:val="17"/>
  </w:num>
  <w:num w:numId="15" w16cid:durableId="1171457176">
    <w:abstractNumId w:val="7"/>
  </w:num>
  <w:num w:numId="16" w16cid:durableId="935209942">
    <w:abstractNumId w:val="15"/>
  </w:num>
  <w:num w:numId="17" w16cid:durableId="1640070027">
    <w:abstractNumId w:val="12"/>
  </w:num>
  <w:num w:numId="18" w16cid:durableId="516502085">
    <w:abstractNumId w:val="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C3"/>
    <w:rsid w:val="000005BA"/>
    <w:rsid w:val="00000719"/>
    <w:rsid w:val="0000105E"/>
    <w:rsid w:val="000015AA"/>
    <w:rsid w:val="000018E1"/>
    <w:rsid w:val="000020EA"/>
    <w:rsid w:val="00002D68"/>
    <w:rsid w:val="00003049"/>
    <w:rsid w:val="000033F7"/>
    <w:rsid w:val="00003403"/>
    <w:rsid w:val="00004475"/>
    <w:rsid w:val="00004CCE"/>
    <w:rsid w:val="000052DA"/>
    <w:rsid w:val="00005347"/>
    <w:rsid w:val="00005B9E"/>
    <w:rsid w:val="000072B6"/>
    <w:rsid w:val="000073A2"/>
    <w:rsid w:val="0001021B"/>
    <w:rsid w:val="000105DB"/>
    <w:rsid w:val="00010746"/>
    <w:rsid w:val="00010E6D"/>
    <w:rsid w:val="000110F1"/>
    <w:rsid w:val="000111AC"/>
    <w:rsid w:val="00011A2C"/>
    <w:rsid w:val="00011D89"/>
    <w:rsid w:val="000121F2"/>
    <w:rsid w:val="000132C7"/>
    <w:rsid w:val="0001330C"/>
    <w:rsid w:val="000145B3"/>
    <w:rsid w:val="00014606"/>
    <w:rsid w:val="000154FD"/>
    <w:rsid w:val="000165CD"/>
    <w:rsid w:val="00016C58"/>
    <w:rsid w:val="000171D6"/>
    <w:rsid w:val="000212EE"/>
    <w:rsid w:val="0002154A"/>
    <w:rsid w:val="00021C98"/>
    <w:rsid w:val="00021E13"/>
    <w:rsid w:val="00021E9F"/>
    <w:rsid w:val="00022220"/>
    <w:rsid w:val="00022271"/>
    <w:rsid w:val="00023276"/>
    <w:rsid w:val="000235E8"/>
    <w:rsid w:val="00023C87"/>
    <w:rsid w:val="00024D89"/>
    <w:rsid w:val="000250B6"/>
    <w:rsid w:val="000256A9"/>
    <w:rsid w:val="00027B8E"/>
    <w:rsid w:val="0003002A"/>
    <w:rsid w:val="0003047D"/>
    <w:rsid w:val="00030F9E"/>
    <w:rsid w:val="00033D81"/>
    <w:rsid w:val="00033DC9"/>
    <w:rsid w:val="00034475"/>
    <w:rsid w:val="00036B7E"/>
    <w:rsid w:val="0003711E"/>
    <w:rsid w:val="00037366"/>
    <w:rsid w:val="00037B9D"/>
    <w:rsid w:val="00040230"/>
    <w:rsid w:val="00041981"/>
    <w:rsid w:val="00041BF0"/>
    <w:rsid w:val="00041D0C"/>
    <w:rsid w:val="000422DF"/>
    <w:rsid w:val="00042A49"/>
    <w:rsid w:val="00042A6C"/>
    <w:rsid w:val="00042C6D"/>
    <w:rsid w:val="00042C8A"/>
    <w:rsid w:val="00042EBE"/>
    <w:rsid w:val="00043A4D"/>
    <w:rsid w:val="00043EDA"/>
    <w:rsid w:val="00044900"/>
    <w:rsid w:val="00044D06"/>
    <w:rsid w:val="000451CD"/>
    <w:rsid w:val="0004536B"/>
    <w:rsid w:val="000458C0"/>
    <w:rsid w:val="00045D34"/>
    <w:rsid w:val="000460F1"/>
    <w:rsid w:val="00046B68"/>
    <w:rsid w:val="000471EC"/>
    <w:rsid w:val="00047A4B"/>
    <w:rsid w:val="00050647"/>
    <w:rsid w:val="00050A55"/>
    <w:rsid w:val="00050CC5"/>
    <w:rsid w:val="0005102E"/>
    <w:rsid w:val="000526DF"/>
    <w:rsid w:val="000527DD"/>
    <w:rsid w:val="000532BE"/>
    <w:rsid w:val="00054A7D"/>
    <w:rsid w:val="00056865"/>
    <w:rsid w:val="00056EC4"/>
    <w:rsid w:val="000573F9"/>
    <w:rsid w:val="000578B2"/>
    <w:rsid w:val="000600B2"/>
    <w:rsid w:val="00060959"/>
    <w:rsid w:val="00060B69"/>
    <w:rsid w:val="00060C8F"/>
    <w:rsid w:val="000614B2"/>
    <w:rsid w:val="00061E24"/>
    <w:rsid w:val="0006261F"/>
    <w:rsid w:val="0006298A"/>
    <w:rsid w:val="0006367C"/>
    <w:rsid w:val="00063DC9"/>
    <w:rsid w:val="000643BD"/>
    <w:rsid w:val="00064633"/>
    <w:rsid w:val="000649F7"/>
    <w:rsid w:val="000657CF"/>
    <w:rsid w:val="000663CD"/>
    <w:rsid w:val="0006734C"/>
    <w:rsid w:val="0006754E"/>
    <w:rsid w:val="00067B4F"/>
    <w:rsid w:val="00067D11"/>
    <w:rsid w:val="000700B0"/>
    <w:rsid w:val="000702F3"/>
    <w:rsid w:val="000703F3"/>
    <w:rsid w:val="00070734"/>
    <w:rsid w:val="000707BF"/>
    <w:rsid w:val="00071A61"/>
    <w:rsid w:val="00072251"/>
    <w:rsid w:val="000724A1"/>
    <w:rsid w:val="000732D3"/>
    <w:rsid w:val="000733A3"/>
    <w:rsid w:val="000733FE"/>
    <w:rsid w:val="00074219"/>
    <w:rsid w:val="00074ED5"/>
    <w:rsid w:val="0007518B"/>
    <w:rsid w:val="00075A9C"/>
    <w:rsid w:val="00076633"/>
    <w:rsid w:val="000766E9"/>
    <w:rsid w:val="00076731"/>
    <w:rsid w:val="000804D7"/>
    <w:rsid w:val="0008204A"/>
    <w:rsid w:val="0008250D"/>
    <w:rsid w:val="000830EF"/>
    <w:rsid w:val="00084E57"/>
    <w:rsid w:val="0008508E"/>
    <w:rsid w:val="00086557"/>
    <w:rsid w:val="00086BB6"/>
    <w:rsid w:val="00086E81"/>
    <w:rsid w:val="00086F59"/>
    <w:rsid w:val="00087009"/>
    <w:rsid w:val="00087951"/>
    <w:rsid w:val="0009050A"/>
    <w:rsid w:val="00090906"/>
    <w:rsid w:val="0009090A"/>
    <w:rsid w:val="000909E0"/>
    <w:rsid w:val="0009113B"/>
    <w:rsid w:val="000913EF"/>
    <w:rsid w:val="00091BD5"/>
    <w:rsid w:val="000920B4"/>
    <w:rsid w:val="00092276"/>
    <w:rsid w:val="000922C8"/>
    <w:rsid w:val="000931D4"/>
    <w:rsid w:val="00093402"/>
    <w:rsid w:val="00093554"/>
    <w:rsid w:val="000944B0"/>
    <w:rsid w:val="00094BBF"/>
    <w:rsid w:val="00094DA3"/>
    <w:rsid w:val="000950CB"/>
    <w:rsid w:val="0009635B"/>
    <w:rsid w:val="000965C0"/>
    <w:rsid w:val="000966CE"/>
    <w:rsid w:val="00096BCB"/>
    <w:rsid w:val="00096CD1"/>
    <w:rsid w:val="0009714D"/>
    <w:rsid w:val="00097A6A"/>
    <w:rsid w:val="000A012C"/>
    <w:rsid w:val="000A0CB2"/>
    <w:rsid w:val="000A0EB9"/>
    <w:rsid w:val="000A1240"/>
    <w:rsid w:val="000A186C"/>
    <w:rsid w:val="000A1EA4"/>
    <w:rsid w:val="000A1EC7"/>
    <w:rsid w:val="000A1FB6"/>
    <w:rsid w:val="000A2476"/>
    <w:rsid w:val="000A2FB5"/>
    <w:rsid w:val="000A365B"/>
    <w:rsid w:val="000A39FA"/>
    <w:rsid w:val="000A42D3"/>
    <w:rsid w:val="000A61BB"/>
    <w:rsid w:val="000A628F"/>
    <w:rsid w:val="000A641A"/>
    <w:rsid w:val="000A70DD"/>
    <w:rsid w:val="000A7230"/>
    <w:rsid w:val="000A7B44"/>
    <w:rsid w:val="000A7C8C"/>
    <w:rsid w:val="000B0CB1"/>
    <w:rsid w:val="000B1065"/>
    <w:rsid w:val="000B1548"/>
    <w:rsid w:val="000B2117"/>
    <w:rsid w:val="000B2B39"/>
    <w:rsid w:val="000B2C70"/>
    <w:rsid w:val="000B302A"/>
    <w:rsid w:val="000B3EDB"/>
    <w:rsid w:val="000B449B"/>
    <w:rsid w:val="000B4B2F"/>
    <w:rsid w:val="000B543D"/>
    <w:rsid w:val="000B55F9"/>
    <w:rsid w:val="000B5BF7"/>
    <w:rsid w:val="000B6BC8"/>
    <w:rsid w:val="000B7599"/>
    <w:rsid w:val="000B7AE9"/>
    <w:rsid w:val="000B7F8F"/>
    <w:rsid w:val="000B7FD5"/>
    <w:rsid w:val="000C0303"/>
    <w:rsid w:val="000C12A8"/>
    <w:rsid w:val="000C2F52"/>
    <w:rsid w:val="000C3C56"/>
    <w:rsid w:val="000C42EA"/>
    <w:rsid w:val="000C4546"/>
    <w:rsid w:val="000C7A62"/>
    <w:rsid w:val="000D0169"/>
    <w:rsid w:val="000D062B"/>
    <w:rsid w:val="000D0860"/>
    <w:rsid w:val="000D10A4"/>
    <w:rsid w:val="000D1242"/>
    <w:rsid w:val="000D1442"/>
    <w:rsid w:val="000D1559"/>
    <w:rsid w:val="000D292F"/>
    <w:rsid w:val="000D2ABA"/>
    <w:rsid w:val="000D3EED"/>
    <w:rsid w:val="000D507E"/>
    <w:rsid w:val="000D562B"/>
    <w:rsid w:val="000D7EA8"/>
    <w:rsid w:val="000E01FD"/>
    <w:rsid w:val="000E0970"/>
    <w:rsid w:val="000E0C2D"/>
    <w:rsid w:val="000E36BC"/>
    <w:rsid w:val="000E3CC7"/>
    <w:rsid w:val="000E46B2"/>
    <w:rsid w:val="000E4BC4"/>
    <w:rsid w:val="000E6AB7"/>
    <w:rsid w:val="000E6BB6"/>
    <w:rsid w:val="000E6BD4"/>
    <w:rsid w:val="000E6D6D"/>
    <w:rsid w:val="000E7B62"/>
    <w:rsid w:val="000E7F12"/>
    <w:rsid w:val="000F01D2"/>
    <w:rsid w:val="000F0E7E"/>
    <w:rsid w:val="000F0EFD"/>
    <w:rsid w:val="000F1531"/>
    <w:rsid w:val="000F16E9"/>
    <w:rsid w:val="000F1F1E"/>
    <w:rsid w:val="000F2065"/>
    <w:rsid w:val="000F2259"/>
    <w:rsid w:val="000F28EE"/>
    <w:rsid w:val="000F2A8F"/>
    <w:rsid w:val="000F2DDA"/>
    <w:rsid w:val="000F2EA0"/>
    <w:rsid w:val="000F417E"/>
    <w:rsid w:val="000F4518"/>
    <w:rsid w:val="000F5115"/>
    <w:rsid w:val="000F5213"/>
    <w:rsid w:val="000F5558"/>
    <w:rsid w:val="000F5A1A"/>
    <w:rsid w:val="000F64BE"/>
    <w:rsid w:val="000F6586"/>
    <w:rsid w:val="000F6730"/>
    <w:rsid w:val="000F67D7"/>
    <w:rsid w:val="000F6CC6"/>
    <w:rsid w:val="000F7CF3"/>
    <w:rsid w:val="001004B4"/>
    <w:rsid w:val="00100971"/>
    <w:rsid w:val="00101001"/>
    <w:rsid w:val="00101147"/>
    <w:rsid w:val="001016D2"/>
    <w:rsid w:val="00102481"/>
    <w:rsid w:val="001028ED"/>
    <w:rsid w:val="00103276"/>
    <w:rsid w:val="0010392D"/>
    <w:rsid w:val="0010447F"/>
    <w:rsid w:val="00104E46"/>
    <w:rsid w:val="00104FE3"/>
    <w:rsid w:val="00105291"/>
    <w:rsid w:val="0010714F"/>
    <w:rsid w:val="001079A2"/>
    <w:rsid w:val="001079ED"/>
    <w:rsid w:val="00110068"/>
    <w:rsid w:val="001104F1"/>
    <w:rsid w:val="00111131"/>
    <w:rsid w:val="001120C5"/>
    <w:rsid w:val="0011384D"/>
    <w:rsid w:val="00113A18"/>
    <w:rsid w:val="00113B0C"/>
    <w:rsid w:val="00114FF3"/>
    <w:rsid w:val="0011653B"/>
    <w:rsid w:val="00116D95"/>
    <w:rsid w:val="00117B4B"/>
    <w:rsid w:val="00117C86"/>
    <w:rsid w:val="00117EE3"/>
    <w:rsid w:val="00120493"/>
    <w:rsid w:val="0012049A"/>
    <w:rsid w:val="001208BA"/>
    <w:rsid w:val="00120BD3"/>
    <w:rsid w:val="00122002"/>
    <w:rsid w:val="00122E39"/>
    <w:rsid w:val="00122FEA"/>
    <w:rsid w:val="001232BD"/>
    <w:rsid w:val="00124ED5"/>
    <w:rsid w:val="00125CA7"/>
    <w:rsid w:val="001261D4"/>
    <w:rsid w:val="0012620D"/>
    <w:rsid w:val="001276FA"/>
    <w:rsid w:val="001303E9"/>
    <w:rsid w:val="00131B4A"/>
    <w:rsid w:val="00131FC2"/>
    <w:rsid w:val="001351BF"/>
    <w:rsid w:val="001356D7"/>
    <w:rsid w:val="001357D1"/>
    <w:rsid w:val="00137160"/>
    <w:rsid w:val="001373FB"/>
    <w:rsid w:val="00137767"/>
    <w:rsid w:val="00141637"/>
    <w:rsid w:val="00141F13"/>
    <w:rsid w:val="00142C0D"/>
    <w:rsid w:val="00143402"/>
    <w:rsid w:val="00143A3D"/>
    <w:rsid w:val="001443CA"/>
    <w:rsid w:val="001447B3"/>
    <w:rsid w:val="001453DE"/>
    <w:rsid w:val="00146000"/>
    <w:rsid w:val="00146108"/>
    <w:rsid w:val="00146466"/>
    <w:rsid w:val="00146762"/>
    <w:rsid w:val="00146EDE"/>
    <w:rsid w:val="0015104B"/>
    <w:rsid w:val="001513B3"/>
    <w:rsid w:val="00151416"/>
    <w:rsid w:val="00151D13"/>
    <w:rsid w:val="00152073"/>
    <w:rsid w:val="0015225F"/>
    <w:rsid w:val="00152329"/>
    <w:rsid w:val="00152D1D"/>
    <w:rsid w:val="00153179"/>
    <w:rsid w:val="001538ED"/>
    <w:rsid w:val="00153B86"/>
    <w:rsid w:val="00154406"/>
    <w:rsid w:val="00154489"/>
    <w:rsid w:val="00155690"/>
    <w:rsid w:val="00155CE3"/>
    <w:rsid w:val="00156598"/>
    <w:rsid w:val="0016037B"/>
    <w:rsid w:val="00161467"/>
    <w:rsid w:val="00161939"/>
    <w:rsid w:val="00161AA0"/>
    <w:rsid w:val="00161D2E"/>
    <w:rsid w:val="00161F3E"/>
    <w:rsid w:val="00162093"/>
    <w:rsid w:val="00162A2E"/>
    <w:rsid w:val="00162CA9"/>
    <w:rsid w:val="00162EEA"/>
    <w:rsid w:val="00163B79"/>
    <w:rsid w:val="001646B0"/>
    <w:rsid w:val="00165459"/>
    <w:rsid w:val="001659C0"/>
    <w:rsid w:val="00165A57"/>
    <w:rsid w:val="001669BB"/>
    <w:rsid w:val="00166C12"/>
    <w:rsid w:val="00167E93"/>
    <w:rsid w:val="001700D0"/>
    <w:rsid w:val="001704D1"/>
    <w:rsid w:val="001705CF"/>
    <w:rsid w:val="001706F8"/>
    <w:rsid w:val="00170D41"/>
    <w:rsid w:val="001712C2"/>
    <w:rsid w:val="001717B7"/>
    <w:rsid w:val="00172BAF"/>
    <w:rsid w:val="00173435"/>
    <w:rsid w:val="00173D3F"/>
    <w:rsid w:val="00174102"/>
    <w:rsid w:val="0017674D"/>
    <w:rsid w:val="0017719B"/>
    <w:rsid w:val="001771DD"/>
    <w:rsid w:val="00177995"/>
    <w:rsid w:val="00177A70"/>
    <w:rsid w:val="00177A8C"/>
    <w:rsid w:val="001810D6"/>
    <w:rsid w:val="0018117B"/>
    <w:rsid w:val="0018244E"/>
    <w:rsid w:val="00182458"/>
    <w:rsid w:val="00183605"/>
    <w:rsid w:val="0018466F"/>
    <w:rsid w:val="001848BF"/>
    <w:rsid w:val="00184AE2"/>
    <w:rsid w:val="00185802"/>
    <w:rsid w:val="00185C4D"/>
    <w:rsid w:val="00186380"/>
    <w:rsid w:val="00186B33"/>
    <w:rsid w:val="00186C0F"/>
    <w:rsid w:val="00186F36"/>
    <w:rsid w:val="00187760"/>
    <w:rsid w:val="001877C0"/>
    <w:rsid w:val="001877EA"/>
    <w:rsid w:val="00191298"/>
    <w:rsid w:val="001919F1"/>
    <w:rsid w:val="001928AC"/>
    <w:rsid w:val="00192F38"/>
    <w:rsid w:val="00192F9D"/>
    <w:rsid w:val="00193209"/>
    <w:rsid w:val="00193254"/>
    <w:rsid w:val="00194992"/>
    <w:rsid w:val="00194BD5"/>
    <w:rsid w:val="00195216"/>
    <w:rsid w:val="00196038"/>
    <w:rsid w:val="001964D7"/>
    <w:rsid w:val="00196783"/>
    <w:rsid w:val="001967B3"/>
    <w:rsid w:val="00196EB8"/>
    <w:rsid w:val="00196EFB"/>
    <w:rsid w:val="001979FF"/>
    <w:rsid w:val="00197B17"/>
    <w:rsid w:val="001A03E7"/>
    <w:rsid w:val="001A0D61"/>
    <w:rsid w:val="001A119E"/>
    <w:rsid w:val="001A1950"/>
    <w:rsid w:val="001A1C54"/>
    <w:rsid w:val="001A202A"/>
    <w:rsid w:val="001A24B5"/>
    <w:rsid w:val="001A27F7"/>
    <w:rsid w:val="001A3ACE"/>
    <w:rsid w:val="001A3D34"/>
    <w:rsid w:val="001A4AD8"/>
    <w:rsid w:val="001A4B36"/>
    <w:rsid w:val="001A4EB6"/>
    <w:rsid w:val="001A5A1C"/>
    <w:rsid w:val="001A607E"/>
    <w:rsid w:val="001A6272"/>
    <w:rsid w:val="001A65B9"/>
    <w:rsid w:val="001B058F"/>
    <w:rsid w:val="001B0F97"/>
    <w:rsid w:val="001B14F6"/>
    <w:rsid w:val="001B2163"/>
    <w:rsid w:val="001B348D"/>
    <w:rsid w:val="001B3D0E"/>
    <w:rsid w:val="001B40FA"/>
    <w:rsid w:val="001B4472"/>
    <w:rsid w:val="001B44EF"/>
    <w:rsid w:val="001B51C9"/>
    <w:rsid w:val="001B52AF"/>
    <w:rsid w:val="001B6B96"/>
    <w:rsid w:val="001B7228"/>
    <w:rsid w:val="001B724C"/>
    <w:rsid w:val="001B738B"/>
    <w:rsid w:val="001B75FE"/>
    <w:rsid w:val="001B7F66"/>
    <w:rsid w:val="001B7F7C"/>
    <w:rsid w:val="001C093F"/>
    <w:rsid w:val="001C0957"/>
    <w:rsid w:val="001C09DB"/>
    <w:rsid w:val="001C0F04"/>
    <w:rsid w:val="001C100D"/>
    <w:rsid w:val="001C277E"/>
    <w:rsid w:val="001C2A72"/>
    <w:rsid w:val="001C31B7"/>
    <w:rsid w:val="001C334E"/>
    <w:rsid w:val="001C377E"/>
    <w:rsid w:val="001C37C8"/>
    <w:rsid w:val="001C44D6"/>
    <w:rsid w:val="001C49A0"/>
    <w:rsid w:val="001C49E1"/>
    <w:rsid w:val="001C57B9"/>
    <w:rsid w:val="001C5E27"/>
    <w:rsid w:val="001C7128"/>
    <w:rsid w:val="001C770E"/>
    <w:rsid w:val="001D0B75"/>
    <w:rsid w:val="001D17C0"/>
    <w:rsid w:val="001D1AD6"/>
    <w:rsid w:val="001D1B86"/>
    <w:rsid w:val="001D2169"/>
    <w:rsid w:val="001D2F72"/>
    <w:rsid w:val="001D3011"/>
    <w:rsid w:val="001D39A5"/>
    <w:rsid w:val="001D3C09"/>
    <w:rsid w:val="001D44E8"/>
    <w:rsid w:val="001D4E09"/>
    <w:rsid w:val="001D60EC"/>
    <w:rsid w:val="001D6568"/>
    <w:rsid w:val="001D6E30"/>
    <w:rsid w:val="001D6F59"/>
    <w:rsid w:val="001D7F3A"/>
    <w:rsid w:val="001E0429"/>
    <w:rsid w:val="001E0981"/>
    <w:rsid w:val="001E1F39"/>
    <w:rsid w:val="001E44DF"/>
    <w:rsid w:val="001E4751"/>
    <w:rsid w:val="001E5BB9"/>
    <w:rsid w:val="001E6880"/>
    <w:rsid w:val="001E68A5"/>
    <w:rsid w:val="001E693C"/>
    <w:rsid w:val="001E6BB0"/>
    <w:rsid w:val="001E7282"/>
    <w:rsid w:val="001E7F2D"/>
    <w:rsid w:val="001F0CB8"/>
    <w:rsid w:val="001F1265"/>
    <w:rsid w:val="001F164B"/>
    <w:rsid w:val="001F1B30"/>
    <w:rsid w:val="001F1B96"/>
    <w:rsid w:val="001F1BD6"/>
    <w:rsid w:val="001F1CBD"/>
    <w:rsid w:val="001F25EC"/>
    <w:rsid w:val="001F2C8C"/>
    <w:rsid w:val="001F3826"/>
    <w:rsid w:val="001F3FDA"/>
    <w:rsid w:val="001F50BC"/>
    <w:rsid w:val="001F520A"/>
    <w:rsid w:val="001F57B2"/>
    <w:rsid w:val="001F5A4A"/>
    <w:rsid w:val="001F6720"/>
    <w:rsid w:val="001F6C3B"/>
    <w:rsid w:val="001F6E46"/>
    <w:rsid w:val="001F7C91"/>
    <w:rsid w:val="001F7EDD"/>
    <w:rsid w:val="0020015E"/>
    <w:rsid w:val="00201AF8"/>
    <w:rsid w:val="00202260"/>
    <w:rsid w:val="002024C5"/>
    <w:rsid w:val="0020254A"/>
    <w:rsid w:val="00202A88"/>
    <w:rsid w:val="00202EF8"/>
    <w:rsid w:val="00202FE3"/>
    <w:rsid w:val="002033B7"/>
    <w:rsid w:val="0020362B"/>
    <w:rsid w:val="0020381F"/>
    <w:rsid w:val="0020390F"/>
    <w:rsid w:val="00203973"/>
    <w:rsid w:val="00204103"/>
    <w:rsid w:val="0020411A"/>
    <w:rsid w:val="00205222"/>
    <w:rsid w:val="002052CC"/>
    <w:rsid w:val="002052D5"/>
    <w:rsid w:val="00205A8C"/>
    <w:rsid w:val="00206463"/>
    <w:rsid w:val="00206BB7"/>
    <w:rsid w:val="00206BC2"/>
    <w:rsid w:val="00206F2F"/>
    <w:rsid w:val="002070FB"/>
    <w:rsid w:val="00207717"/>
    <w:rsid w:val="00207AAA"/>
    <w:rsid w:val="00210332"/>
    <w:rsid w:val="002104CF"/>
    <w:rsid w:val="0021053D"/>
    <w:rsid w:val="002107FA"/>
    <w:rsid w:val="00210A92"/>
    <w:rsid w:val="00211054"/>
    <w:rsid w:val="0021110E"/>
    <w:rsid w:val="002113AA"/>
    <w:rsid w:val="00211A56"/>
    <w:rsid w:val="00212B95"/>
    <w:rsid w:val="00212E3B"/>
    <w:rsid w:val="002140B6"/>
    <w:rsid w:val="0021476D"/>
    <w:rsid w:val="00214D1D"/>
    <w:rsid w:val="00215CC8"/>
    <w:rsid w:val="002169DA"/>
    <w:rsid w:val="00216C03"/>
    <w:rsid w:val="0021735E"/>
    <w:rsid w:val="00220A1A"/>
    <w:rsid w:val="00220C04"/>
    <w:rsid w:val="002215D4"/>
    <w:rsid w:val="002216E5"/>
    <w:rsid w:val="00221C6A"/>
    <w:rsid w:val="00221E65"/>
    <w:rsid w:val="0022278D"/>
    <w:rsid w:val="00222AF9"/>
    <w:rsid w:val="00222C7E"/>
    <w:rsid w:val="00223803"/>
    <w:rsid w:val="00223BDC"/>
    <w:rsid w:val="00224E8E"/>
    <w:rsid w:val="00226491"/>
    <w:rsid w:val="00226966"/>
    <w:rsid w:val="00226FA8"/>
    <w:rsid w:val="0022701F"/>
    <w:rsid w:val="00227137"/>
    <w:rsid w:val="0022791B"/>
    <w:rsid w:val="00227C68"/>
    <w:rsid w:val="002308E6"/>
    <w:rsid w:val="00230F05"/>
    <w:rsid w:val="002329BD"/>
    <w:rsid w:val="00233311"/>
    <w:rsid w:val="002333F5"/>
    <w:rsid w:val="00233724"/>
    <w:rsid w:val="002345D9"/>
    <w:rsid w:val="00234819"/>
    <w:rsid w:val="00234A1E"/>
    <w:rsid w:val="0023511A"/>
    <w:rsid w:val="00235911"/>
    <w:rsid w:val="00235DB5"/>
    <w:rsid w:val="00236269"/>
    <w:rsid w:val="00236463"/>
    <w:rsid w:val="002365B4"/>
    <w:rsid w:val="00236817"/>
    <w:rsid w:val="00242378"/>
    <w:rsid w:val="00242D66"/>
    <w:rsid w:val="00243101"/>
    <w:rsid w:val="002432E1"/>
    <w:rsid w:val="0024368B"/>
    <w:rsid w:val="0024401D"/>
    <w:rsid w:val="002442B0"/>
    <w:rsid w:val="0024442D"/>
    <w:rsid w:val="002444B5"/>
    <w:rsid w:val="002447E8"/>
    <w:rsid w:val="00244BEE"/>
    <w:rsid w:val="00244DD3"/>
    <w:rsid w:val="00244E28"/>
    <w:rsid w:val="00244FA3"/>
    <w:rsid w:val="002453BA"/>
    <w:rsid w:val="00245AAA"/>
    <w:rsid w:val="00246207"/>
    <w:rsid w:val="00246C5E"/>
    <w:rsid w:val="00247530"/>
    <w:rsid w:val="0024783D"/>
    <w:rsid w:val="00247DBA"/>
    <w:rsid w:val="002500F1"/>
    <w:rsid w:val="00250960"/>
    <w:rsid w:val="00250B5C"/>
    <w:rsid w:val="00250DC4"/>
    <w:rsid w:val="00251343"/>
    <w:rsid w:val="002513CE"/>
    <w:rsid w:val="002514D7"/>
    <w:rsid w:val="002525B9"/>
    <w:rsid w:val="00252AC7"/>
    <w:rsid w:val="00252D0A"/>
    <w:rsid w:val="00253255"/>
    <w:rsid w:val="002536A4"/>
    <w:rsid w:val="002537D4"/>
    <w:rsid w:val="00253A3E"/>
    <w:rsid w:val="00253FE5"/>
    <w:rsid w:val="0025439D"/>
    <w:rsid w:val="00254F58"/>
    <w:rsid w:val="0025622B"/>
    <w:rsid w:val="0025623A"/>
    <w:rsid w:val="002600BD"/>
    <w:rsid w:val="002601C0"/>
    <w:rsid w:val="0026087B"/>
    <w:rsid w:val="002620BC"/>
    <w:rsid w:val="00262802"/>
    <w:rsid w:val="00263A90"/>
    <w:rsid w:val="0026408B"/>
    <w:rsid w:val="00264359"/>
    <w:rsid w:val="002663D0"/>
    <w:rsid w:val="0026642A"/>
    <w:rsid w:val="002675F1"/>
    <w:rsid w:val="00267C3E"/>
    <w:rsid w:val="00267DB1"/>
    <w:rsid w:val="002709BB"/>
    <w:rsid w:val="0027131C"/>
    <w:rsid w:val="00271BA4"/>
    <w:rsid w:val="00272933"/>
    <w:rsid w:val="0027339F"/>
    <w:rsid w:val="00273AFF"/>
    <w:rsid w:val="00273BAC"/>
    <w:rsid w:val="00274874"/>
    <w:rsid w:val="0027525B"/>
    <w:rsid w:val="002763B3"/>
    <w:rsid w:val="0027641A"/>
    <w:rsid w:val="00276EBA"/>
    <w:rsid w:val="002802E3"/>
    <w:rsid w:val="002806A1"/>
    <w:rsid w:val="0028075A"/>
    <w:rsid w:val="00280766"/>
    <w:rsid w:val="00280963"/>
    <w:rsid w:val="00280C4B"/>
    <w:rsid w:val="00280F12"/>
    <w:rsid w:val="0028141E"/>
    <w:rsid w:val="00281DA9"/>
    <w:rsid w:val="0028213D"/>
    <w:rsid w:val="002837B3"/>
    <w:rsid w:val="00284972"/>
    <w:rsid w:val="00285211"/>
    <w:rsid w:val="0028563E"/>
    <w:rsid w:val="00286171"/>
    <w:rsid w:val="002862AB"/>
    <w:rsid w:val="002862F1"/>
    <w:rsid w:val="0028648F"/>
    <w:rsid w:val="00286532"/>
    <w:rsid w:val="00286911"/>
    <w:rsid w:val="002901D6"/>
    <w:rsid w:val="00290B07"/>
    <w:rsid w:val="002911BC"/>
    <w:rsid w:val="00291373"/>
    <w:rsid w:val="00292728"/>
    <w:rsid w:val="00293289"/>
    <w:rsid w:val="002933BE"/>
    <w:rsid w:val="002939CF"/>
    <w:rsid w:val="00293FFF"/>
    <w:rsid w:val="002958B2"/>
    <w:rsid w:val="002958E9"/>
    <w:rsid w:val="0029597D"/>
    <w:rsid w:val="00295B62"/>
    <w:rsid w:val="00295BA8"/>
    <w:rsid w:val="00295E36"/>
    <w:rsid w:val="002962C3"/>
    <w:rsid w:val="0029752B"/>
    <w:rsid w:val="0029769E"/>
    <w:rsid w:val="002A063F"/>
    <w:rsid w:val="002A07EB"/>
    <w:rsid w:val="002A0A9C"/>
    <w:rsid w:val="002A0D1E"/>
    <w:rsid w:val="002A0F49"/>
    <w:rsid w:val="002A13AC"/>
    <w:rsid w:val="002A2FDD"/>
    <w:rsid w:val="002A483C"/>
    <w:rsid w:val="002A4B74"/>
    <w:rsid w:val="002A583C"/>
    <w:rsid w:val="002A5BA9"/>
    <w:rsid w:val="002A5C64"/>
    <w:rsid w:val="002A6889"/>
    <w:rsid w:val="002A6A14"/>
    <w:rsid w:val="002A7320"/>
    <w:rsid w:val="002A73A0"/>
    <w:rsid w:val="002A7F1B"/>
    <w:rsid w:val="002B044D"/>
    <w:rsid w:val="002B0C7C"/>
    <w:rsid w:val="002B15C0"/>
    <w:rsid w:val="002B1729"/>
    <w:rsid w:val="002B21B7"/>
    <w:rsid w:val="002B3128"/>
    <w:rsid w:val="002B36C7"/>
    <w:rsid w:val="002B3AA9"/>
    <w:rsid w:val="002B4DD4"/>
    <w:rsid w:val="002B50C6"/>
    <w:rsid w:val="002B5277"/>
    <w:rsid w:val="002B5375"/>
    <w:rsid w:val="002B57AE"/>
    <w:rsid w:val="002B65FB"/>
    <w:rsid w:val="002B67FC"/>
    <w:rsid w:val="002B719A"/>
    <w:rsid w:val="002B7713"/>
    <w:rsid w:val="002B77C1"/>
    <w:rsid w:val="002B7BFF"/>
    <w:rsid w:val="002B7CEB"/>
    <w:rsid w:val="002B7F94"/>
    <w:rsid w:val="002C01F4"/>
    <w:rsid w:val="002C04E6"/>
    <w:rsid w:val="002C0ED7"/>
    <w:rsid w:val="002C16F1"/>
    <w:rsid w:val="002C1866"/>
    <w:rsid w:val="002C1E47"/>
    <w:rsid w:val="002C2728"/>
    <w:rsid w:val="002C3958"/>
    <w:rsid w:val="002C3C7D"/>
    <w:rsid w:val="002C3EE0"/>
    <w:rsid w:val="002C581E"/>
    <w:rsid w:val="002C5B7C"/>
    <w:rsid w:val="002C704D"/>
    <w:rsid w:val="002D01F9"/>
    <w:rsid w:val="002D1E0D"/>
    <w:rsid w:val="002D2699"/>
    <w:rsid w:val="002D29CA"/>
    <w:rsid w:val="002D31AA"/>
    <w:rsid w:val="002D38A7"/>
    <w:rsid w:val="002D43F0"/>
    <w:rsid w:val="002D46DF"/>
    <w:rsid w:val="002D5006"/>
    <w:rsid w:val="002D51D4"/>
    <w:rsid w:val="002D651D"/>
    <w:rsid w:val="002D6745"/>
    <w:rsid w:val="002D6EDC"/>
    <w:rsid w:val="002D7C61"/>
    <w:rsid w:val="002D7F75"/>
    <w:rsid w:val="002E010E"/>
    <w:rsid w:val="002E01D0"/>
    <w:rsid w:val="002E0897"/>
    <w:rsid w:val="002E161D"/>
    <w:rsid w:val="002E187B"/>
    <w:rsid w:val="002E1E8B"/>
    <w:rsid w:val="002E28A2"/>
    <w:rsid w:val="002E3100"/>
    <w:rsid w:val="002E318A"/>
    <w:rsid w:val="002E4070"/>
    <w:rsid w:val="002E4461"/>
    <w:rsid w:val="002E44C0"/>
    <w:rsid w:val="002E4897"/>
    <w:rsid w:val="002E49DA"/>
    <w:rsid w:val="002E4F63"/>
    <w:rsid w:val="002E6BD1"/>
    <w:rsid w:val="002E6C95"/>
    <w:rsid w:val="002E7838"/>
    <w:rsid w:val="002E7C36"/>
    <w:rsid w:val="002F02B8"/>
    <w:rsid w:val="002F0B89"/>
    <w:rsid w:val="002F0E73"/>
    <w:rsid w:val="002F18A5"/>
    <w:rsid w:val="002F1C8C"/>
    <w:rsid w:val="002F2A46"/>
    <w:rsid w:val="002F3829"/>
    <w:rsid w:val="002F3ADF"/>
    <w:rsid w:val="002F3D32"/>
    <w:rsid w:val="002F3F29"/>
    <w:rsid w:val="002F473C"/>
    <w:rsid w:val="002F4E9A"/>
    <w:rsid w:val="002F5F31"/>
    <w:rsid w:val="002F5F46"/>
    <w:rsid w:val="002F620E"/>
    <w:rsid w:val="002F6544"/>
    <w:rsid w:val="002F6581"/>
    <w:rsid w:val="002F7F7A"/>
    <w:rsid w:val="00300279"/>
    <w:rsid w:val="00300447"/>
    <w:rsid w:val="00302216"/>
    <w:rsid w:val="00302CC1"/>
    <w:rsid w:val="00303CE3"/>
    <w:rsid w:val="00303E53"/>
    <w:rsid w:val="00304B04"/>
    <w:rsid w:val="00305CC1"/>
    <w:rsid w:val="00306ADD"/>
    <w:rsid w:val="00306C0B"/>
    <w:rsid w:val="00306E5F"/>
    <w:rsid w:val="0030757A"/>
    <w:rsid w:val="00307E14"/>
    <w:rsid w:val="0031007B"/>
    <w:rsid w:val="00310CE1"/>
    <w:rsid w:val="00310E63"/>
    <w:rsid w:val="003114C4"/>
    <w:rsid w:val="00312330"/>
    <w:rsid w:val="0031284E"/>
    <w:rsid w:val="00312D30"/>
    <w:rsid w:val="0031365C"/>
    <w:rsid w:val="00313937"/>
    <w:rsid w:val="003139AD"/>
    <w:rsid w:val="00313A33"/>
    <w:rsid w:val="00314054"/>
    <w:rsid w:val="003148AC"/>
    <w:rsid w:val="0031504F"/>
    <w:rsid w:val="00315303"/>
    <w:rsid w:val="00315C63"/>
    <w:rsid w:val="003167AF"/>
    <w:rsid w:val="00316F27"/>
    <w:rsid w:val="00317313"/>
    <w:rsid w:val="00317498"/>
    <w:rsid w:val="00320188"/>
    <w:rsid w:val="003214F1"/>
    <w:rsid w:val="003216DD"/>
    <w:rsid w:val="003219EF"/>
    <w:rsid w:val="00321A0A"/>
    <w:rsid w:val="00321C1D"/>
    <w:rsid w:val="00322943"/>
    <w:rsid w:val="003229EF"/>
    <w:rsid w:val="00322D0B"/>
    <w:rsid w:val="00322E4B"/>
    <w:rsid w:val="00322F5D"/>
    <w:rsid w:val="0032328C"/>
    <w:rsid w:val="003232C0"/>
    <w:rsid w:val="0032338D"/>
    <w:rsid w:val="0032359A"/>
    <w:rsid w:val="0032394D"/>
    <w:rsid w:val="003252EE"/>
    <w:rsid w:val="00325E62"/>
    <w:rsid w:val="00325FD3"/>
    <w:rsid w:val="0032673C"/>
    <w:rsid w:val="00326CFB"/>
    <w:rsid w:val="00326E64"/>
    <w:rsid w:val="00327870"/>
    <w:rsid w:val="00327D1F"/>
    <w:rsid w:val="00331832"/>
    <w:rsid w:val="00331AEB"/>
    <w:rsid w:val="0033259D"/>
    <w:rsid w:val="003329CA"/>
    <w:rsid w:val="00332D5A"/>
    <w:rsid w:val="00333198"/>
    <w:rsid w:val="003333D2"/>
    <w:rsid w:val="003337B8"/>
    <w:rsid w:val="00333DED"/>
    <w:rsid w:val="00333EC0"/>
    <w:rsid w:val="00334686"/>
    <w:rsid w:val="00334F8A"/>
    <w:rsid w:val="0033515B"/>
    <w:rsid w:val="003357E3"/>
    <w:rsid w:val="00335BA6"/>
    <w:rsid w:val="00337339"/>
    <w:rsid w:val="00337BE6"/>
    <w:rsid w:val="00340091"/>
    <w:rsid w:val="00340345"/>
    <w:rsid w:val="003406C6"/>
    <w:rsid w:val="0034088F"/>
    <w:rsid w:val="00340996"/>
    <w:rsid w:val="00340D78"/>
    <w:rsid w:val="0034100E"/>
    <w:rsid w:val="0034130B"/>
    <w:rsid w:val="00341458"/>
    <w:rsid w:val="003418CC"/>
    <w:rsid w:val="00342412"/>
    <w:rsid w:val="00342492"/>
    <w:rsid w:val="00342CC7"/>
    <w:rsid w:val="003434EE"/>
    <w:rsid w:val="00344AA4"/>
    <w:rsid w:val="00344E9D"/>
    <w:rsid w:val="003459BD"/>
    <w:rsid w:val="00345D9C"/>
    <w:rsid w:val="0034726F"/>
    <w:rsid w:val="00347ADC"/>
    <w:rsid w:val="003502DB"/>
    <w:rsid w:val="003507C8"/>
    <w:rsid w:val="00350D38"/>
    <w:rsid w:val="00350F51"/>
    <w:rsid w:val="00351405"/>
    <w:rsid w:val="0035197D"/>
    <w:rsid w:val="00351B36"/>
    <w:rsid w:val="00353EA6"/>
    <w:rsid w:val="00353FA6"/>
    <w:rsid w:val="00354C74"/>
    <w:rsid w:val="00356374"/>
    <w:rsid w:val="00357B4E"/>
    <w:rsid w:val="00357F49"/>
    <w:rsid w:val="00360A20"/>
    <w:rsid w:val="00360D5F"/>
    <w:rsid w:val="00361B92"/>
    <w:rsid w:val="0036265E"/>
    <w:rsid w:val="00362FAF"/>
    <w:rsid w:val="003631D1"/>
    <w:rsid w:val="003632E2"/>
    <w:rsid w:val="00363477"/>
    <w:rsid w:val="00365A32"/>
    <w:rsid w:val="00366386"/>
    <w:rsid w:val="0036668F"/>
    <w:rsid w:val="00366965"/>
    <w:rsid w:val="003670FE"/>
    <w:rsid w:val="0036738A"/>
    <w:rsid w:val="00367586"/>
    <w:rsid w:val="0036794F"/>
    <w:rsid w:val="00367EC8"/>
    <w:rsid w:val="00367F8D"/>
    <w:rsid w:val="003716FD"/>
    <w:rsid w:val="0037204B"/>
    <w:rsid w:val="00372327"/>
    <w:rsid w:val="00372382"/>
    <w:rsid w:val="003725D2"/>
    <w:rsid w:val="00372855"/>
    <w:rsid w:val="00372A2E"/>
    <w:rsid w:val="00372ACD"/>
    <w:rsid w:val="0037314D"/>
    <w:rsid w:val="003744CF"/>
    <w:rsid w:val="00374717"/>
    <w:rsid w:val="00374919"/>
    <w:rsid w:val="00374CBC"/>
    <w:rsid w:val="00374E5B"/>
    <w:rsid w:val="003752B3"/>
    <w:rsid w:val="00375752"/>
    <w:rsid w:val="0037676C"/>
    <w:rsid w:val="00376883"/>
    <w:rsid w:val="00377472"/>
    <w:rsid w:val="003776CF"/>
    <w:rsid w:val="00377A1A"/>
    <w:rsid w:val="00381043"/>
    <w:rsid w:val="00382356"/>
    <w:rsid w:val="003829E5"/>
    <w:rsid w:val="00383D3F"/>
    <w:rsid w:val="00383DC1"/>
    <w:rsid w:val="0038411A"/>
    <w:rsid w:val="003847AD"/>
    <w:rsid w:val="00385937"/>
    <w:rsid w:val="00386109"/>
    <w:rsid w:val="00386754"/>
    <w:rsid w:val="00386878"/>
    <w:rsid w:val="00386944"/>
    <w:rsid w:val="00386F96"/>
    <w:rsid w:val="00390975"/>
    <w:rsid w:val="0039193A"/>
    <w:rsid w:val="00391E47"/>
    <w:rsid w:val="0039237C"/>
    <w:rsid w:val="003956CC"/>
    <w:rsid w:val="00395C9A"/>
    <w:rsid w:val="00396107"/>
    <w:rsid w:val="0039793B"/>
    <w:rsid w:val="003A04E1"/>
    <w:rsid w:val="003A0526"/>
    <w:rsid w:val="003A0547"/>
    <w:rsid w:val="003A0853"/>
    <w:rsid w:val="003A0C0F"/>
    <w:rsid w:val="003A0F59"/>
    <w:rsid w:val="003A1A41"/>
    <w:rsid w:val="003A2111"/>
    <w:rsid w:val="003A34AD"/>
    <w:rsid w:val="003A40C5"/>
    <w:rsid w:val="003A4757"/>
    <w:rsid w:val="003A5401"/>
    <w:rsid w:val="003A68A2"/>
    <w:rsid w:val="003A6B67"/>
    <w:rsid w:val="003A7452"/>
    <w:rsid w:val="003A7CD1"/>
    <w:rsid w:val="003B029F"/>
    <w:rsid w:val="003B0943"/>
    <w:rsid w:val="003B0FC9"/>
    <w:rsid w:val="003B13B6"/>
    <w:rsid w:val="003B14C3"/>
    <w:rsid w:val="003B15E6"/>
    <w:rsid w:val="003B1BD2"/>
    <w:rsid w:val="003B1BDC"/>
    <w:rsid w:val="003B22EF"/>
    <w:rsid w:val="003B2587"/>
    <w:rsid w:val="003B3446"/>
    <w:rsid w:val="003B38C0"/>
    <w:rsid w:val="003B408A"/>
    <w:rsid w:val="003B47C2"/>
    <w:rsid w:val="003B49EC"/>
    <w:rsid w:val="003B4E62"/>
    <w:rsid w:val="003B4FE4"/>
    <w:rsid w:val="003B6247"/>
    <w:rsid w:val="003B6B42"/>
    <w:rsid w:val="003B703A"/>
    <w:rsid w:val="003B72B3"/>
    <w:rsid w:val="003B75AB"/>
    <w:rsid w:val="003C08A2"/>
    <w:rsid w:val="003C0CB4"/>
    <w:rsid w:val="003C1494"/>
    <w:rsid w:val="003C1F2C"/>
    <w:rsid w:val="003C2045"/>
    <w:rsid w:val="003C2456"/>
    <w:rsid w:val="003C2DEB"/>
    <w:rsid w:val="003C35E0"/>
    <w:rsid w:val="003C3A7F"/>
    <w:rsid w:val="003C427C"/>
    <w:rsid w:val="003C43A1"/>
    <w:rsid w:val="003C4A2B"/>
    <w:rsid w:val="003C4B6A"/>
    <w:rsid w:val="003C4FC0"/>
    <w:rsid w:val="003C5509"/>
    <w:rsid w:val="003C55F4"/>
    <w:rsid w:val="003C572E"/>
    <w:rsid w:val="003C5809"/>
    <w:rsid w:val="003C5836"/>
    <w:rsid w:val="003C590F"/>
    <w:rsid w:val="003C5A5B"/>
    <w:rsid w:val="003C5F06"/>
    <w:rsid w:val="003C69F1"/>
    <w:rsid w:val="003C73A7"/>
    <w:rsid w:val="003C742F"/>
    <w:rsid w:val="003C7897"/>
    <w:rsid w:val="003C7A3F"/>
    <w:rsid w:val="003C7E7A"/>
    <w:rsid w:val="003D07A6"/>
    <w:rsid w:val="003D0F47"/>
    <w:rsid w:val="003D152C"/>
    <w:rsid w:val="003D1579"/>
    <w:rsid w:val="003D1EC7"/>
    <w:rsid w:val="003D1ECD"/>
    <w:rsid w:val="003D2267"/>
    <w:rsid w:val="003D2766"/>
    <w:rsid w:val="003D2A74"/>
    <w:rsid w:val="003D2B5F"/>
    <w:rsid w:val="003D3D88"/>
    <w:rsid w:val="003D3E8F"/>
    <w:rsid w:val="003D453B"/>
    <w:rsid w:val="003D4A8D"/>
    <w:rsid w:val="003D4F27"/>
    <w:rsid w:val="003D520D"/>
    <w:rsid w:val="003D525B"/>
    <w:rsid w:val="003D5855"/>
    <w:rsid w:val="003D6475"/>
    <w:rsid w:val="003D6EE6"/>
    <w:rsid w:val="003D7000"/>
    <w:rsid w:val="003D7E30"/>
    <w:rsid w:val="003D7F3C"/>
    <w:rsid w:val="003E26BF"/>
    <w:rsid w:val="003E3476"/>
    <w:rsid w:val="003E375C"/>
    <w:rsid w:val="003E4086"/>
    <w:rsid w:val="003E4B38"/>
    <w:rsid w:val="003E4EFE"/>
    <w:rsid w:val="003E594D"/>
    <w:rsid w:val="003E5AD3"/>
    <w:rsid w:val="003E639E"/>
    <w:rsid w:val="003E66EC"/>
    <w:rsid w:val="003E71E5"/>
    <w:rsid w:val="003E7C5A"/>
    <w:rsid w:val="003E7FE4"/>
    <w:rsid w:val="003F01E6"/>
    <w:rsid w:val="003F0400"/>
    <w:rsid w:val="003F0445"/>
    <w:rsid w:val="003F0954"/>
    <w:rsid w:val="003F0CF0"/>
    <w:rsid w:val="003F0E0F"/>
    <w:rsid w:val="003F14B1"/>
    <w:rsid w:val="003F2184"/>
    <w:rsid w:val="003F267B"/>
    <w:rsid w:val="003F2B20"/>
    <w:rsid w:val="003F2BDA"/>
    <w:rsid w:val="003F2DE2"/>
    <w:rsid w:val="003F2E36"/>
    <w:rsid w:val="003F30A8"/>
    <w:rsid w:val="003F3289"/>
    <w:rsid w:val="003F3C62"/>
    <w:rsid w:val="003F4AB1"/>
    <w:rsid w:val="003F4BA4"/>
    <w:rsid w:val="003F5988"/>
    <w:rsid w:val="003F5C62"/>
    <w:rsid w:val="003F5CB9"/>
    <w:rsid w:val="003F5FCD"/>
    <w:rsid w:val="003F62C5"/>
    <w:rsid w:val="003F6ABD"/>
    <w:rsid w:val="003F7619"/>
    <w:rsid w:val="004009F9"/>
    <w:rsid w:val="00400E18"/>
    <w:rsid w:val="004013C7"/>
    <w:rsid w:val="00401725"/>
    <w:rsid w:val="00401D7A"/>
    <w:rsid w:val="00401FCF"/>
    <w:rsid w:val="0040210F"/>
    <w:rsid w:val="00402410"/>
    <w:rsid w:val="00402CFA"/>
    <w:rsid w:val="00403155"/>
    <w:rsid w:val="00403B08"/>
    <w:rsid w:val="00403EC2"/>
    <w:rsid w:val="00403EFC"/>
    <w:rsid w:val="00405022"/>
    <w:rsid w:val="004052AF"/>
    <w:rsid w:val="00405803"/>
    <w:rsid w:val="004058B2"/>
    <w:rsid w:val="00406157"/>
    <w:rsid w:val="00406285"/>
    <w:rsid w:val="00406AD0"/>
    <w:rsid w:val="004073FF"/>
    <w:rsid w:val="00410A47"/>
    <w:rsid w:val="004115A2"/>
    <w:rsid w:val="00411617"/>
    <w:rsid w:val="0041356F"/>
    <w:rsid w:val="00413B28"/>
    <w:rsid w:val="00413BDF"/>
    <w:rsid w:val="004148F9"/>
    <w:rsid w:val="004158A3"/>
    <w:rsid w:val="00416309"/>
    <w:rsid w:val="004163B3"/>
    <w:rsid w:val="00417BF4"/>
    <w:rsid w:val="00417E12"/>
    <w:rsid w:val="0042084E"/>
    <w:rsid w:val="00420856"/>
    <w:rsid w:val="00421047"/>
    <w:rsid w:val="00421EEF"/>
    <w:rsid w:val="00422B9F"/>
    <w:rsid w:val="0042456C"/>
    <w:rsid w:val="004245CC"/>
    <w:rsid w:val="00424828"/>
    <w:rsid w:val="00424899"/>
    <w:rsid w:val="00424D65"/>
    <w:rsid w:val="00424E76"/>
    <w:rsid w:val="00425434"/>
    <w:rsid w:val="004261BF"/>
    <w:rsid w:val="00426A75"/>
    <w:rsid w:val="0042733F"/>
    <w:rsid w:val="004276AE"/>
    <w:rsid w:val="00427BF1"/>
    <w:rsid w:val="0042FCA5"/>
    <w:rsid w:val="00430393"/>
    <w:rsid w:val="00431806"/>
    <w:rsid w:val="00431987"/>
    <w:rsid w:val="00431A70"/>
    <w:rsid w:val="00431AEB"/>
    <w:rsid w:val="00431B41"/>
    <w:rsid w:val="00431F42"/>
    <w:rsid w:val="004326F1"/>
    <w:rsid w:val="00432D7D"/>
    <w:rsid w:val="004337F2"/>
    <w:rsid w:val="00433E24"/>
    <w:rsid w:val="00434362"/>
    <w:rsid w:val="004350F9"/>
    <w:rsid w:val="0043528A"/>
    <w:rsid w:val="00435D92"/>
    <w:rsid w:val="00436782"/>
    <w:rsid w:val="00436836"/>
    <w:rsid w:val="00436916"/>
    <w:rsid w:val="00436AAD"/>
    <w:rsid w:val="00436CB2"/>
    <w:rsid w:val="00436F05"/>
    <w:rsid w:val="0043782B"/>
    <w:rsid w:val="00437AC5"/>
    <w:rsid w:val="00440CD7"/>
    <w:rsid w:val="00441495"/>
    <w:rsid w:val="00441CA0"/>
    <w:rsid w:val="00442C6C"/>
    <w:rsid w:val="00442FA2"/>
    <w:rsid w:val="00443687"/>
    <w:rsid w:val="00443CBE"/>
    <w:rsid w:val="00443E8A"/>
    <w:rsid w:val="004441BC"/>
    <w:rsid w:val="004446A1"/>
    <w:rsid w:val="00444A9C"/>
    <w:rsid w:val="00444B42"/>
    <w:rsid w:val="00444E03"/>
    <w:rsid w:val="00445C64"/>
    <w:rsid w:val="004468B4"/>
    <w:rsid w:val="004469AD"/>
    <w:rsid w:val="00446D86"/>
    <w:rsid w:val="0044733C"/>
    <w:rsid w:val="00447488"/>
    <w:rsid w:val="004509CC"/>
    <w:rsid w:val="0045162C"/>
    <w:rsid w:val="004517F1"/>
    <w:rsid w:val="00451942"/>
    <w:rsid w:val="0045230A"/>
    <w:rsid w:val="00452F5B"/>
    <w:rsid w:val="0045334D"/>
    <w:rsid w:val="0045449C"/>
    <w:rsid w:val="00454691"/>
    <w:rsid w:val="00454AD0"/>
    <w:rsid w:val="004551EA"/>
    <w:rsid w:val="0045562C"/>
    <w:rsid w:val="00455BE1"/>
    <w:rsid w:val="00456255"/>
    <w:rsid w:val="004563F1"/>
    <w:rsid w:val="00456C6A"/>
    <w:rsid w:val="00457337"/>
    <w:rsid w:val="00460C16"/>
    <w:rsid w:val="004612C9"/>
    <w:rsid w:val="00461A99"/>
    <w:rsid w:val="00462033"/>
    <w:rsid w:val="004623BC"/>
    <w:rsid w:val="0046292C"/>
    <w:rsid w:val="00462E3D"/>
    <w:rsid w:val="0046390E"/>
    <w:rsid w:val="00463AAA"/>
    <w:rsid w:val="0046440A"/>
    <w:rsid w:val="0046452F"/>
    <w:rsid w:val="00464E6E"/>
    <w:rsid w:val="004666BC"/>
    <w:rsid w:val="00466E79"/>
    <w:rsid w:val="00466F1B"/>
    <w:rsid w:val="00467B72"/>
    <w:rsid w:val="00470742"/>
    <w:rsid w:val="00470C0D"/>
    <w:rsid w:val="00470D7D"/>
    <w:rsid w:val="00471F9F"/>
    <w:rsid w:val="00471FFB"/>
    <w:rsid w:val="00472175"/>
    <w:rsid w:val="00472A84"/>
    <w:rsid w:val="00472C27"/>
    <w:rsid w:val="00472C4E"/>
    <w:rsid w:val="0047372D"/>
    <w:rsid w:val="00473B5C"/>
    <w:rsid w:val="00473BA3"/>
    <w:rsid w:val="00474307"/>
    <w:rsid w:val="004743DD"/>
    <w:rsid w:val="00474CEA"/>
    <w:rsid w:val="00474FC7"/>
    <w:rsid w:val="004754C0"/>
    <w:rsid w:val="00475D12"/>
    <w:rsid w:val="00475E28"/>
    <w:rsid w:val="00476611"/>
    <w:rsid w:val="00476F3D"/>
    <w:rsid w:val="0048022B"/>
    <w:rsid w:val="004804EE"/>
    <w:rsid w:val="00480E7C"/>
    <w:rsid w:val="00483968"/>
    <w:rsid w:val="004841BE"/>
    <w:rsid w:val="00484925"/>
    <w:rsid w:val="00484F86"/>
    <w:rsid w:val="00485B6F"/>
    <w:rsid w:val="00485F38"/>
    <w:rsid w:val="00490746"/>
    <w:rsid w:val="00490852"/>
    <w:rsid w:val="00490F86"/>
    <w:rsid w:val="00491C9C"/>
    <w:rsid w:val="00492F30"/>
    <w:rsid w:val="00493169"/>
    <w:rsid w:val="00493635"/>
    <w:rsid w:val="00493F21"/>
    <w:rsid w:val="004943F2"/>
    <w:rsid w:val="00494543"/>
    <w:rsid w:val="004946F4"/>
    <w:rsid w:val="0049487E"/>
    <w:rsid w:val="00495E4B"/>
    <w:rsid w:val="004974E7"/>
    <w:rsid w:val="004A0960"/>
    <w:rsid w:val="004A1140"/>
    <w:rsid w:val="004A160D"/>
    <w:rsid w:val="004A1741"/>
    <w:rsid w:val="004A33C2"/>
    <w:rsid w:val="004A3989"/>
    <w:rsid w:val="004A3E81"/>
    <w:rsid w:val="004A4195"/>
    <w:rsid w:val="004A4857"/>
    <w:rsid w:val="004A4979"/>
    <w:rsid w:val="004A5722"/>
    <w:rsid w:val="004A5C62"/>
    <w:rsid w:val="004A5CE5"/>
    <w:rsid w:val="004A6697"/>
    <w:rsid w:val="004A707D"/>
    <w:rsid w:val="004A7595"/>
    <w:rsid w:val="004B009A"/>
    <w:rsid w:val="004B03FE"/>
    <w:rsid w:val="004B0974"/>
    <w:rsid w:val="004B28B5"/>
    <w:rsid w:val="004B4185"/>
    <w:rsid w:val="004B42EC"/>
    <w:rsid w:val="004B508C"/>
    <w:rsid w:val="004B5FEB"/>
    <w:rsid w:val="004B653D"/>
    <w:rsid w:val="004B6B38"/>
    <w:rsid w:val="004C0BD0"/>
    <w:rsid w:val="004C1B53"/>
    <w:rsid w:val="004C1E83"/>
    <w:rsid w:val="004C28B5"/>
    <w:rsid w:val="004C2B1B"/>
    <w:rsid w:val="004C376D"/>
    <w:rsid w:val="004C4976"/>
    <w:rsid w:val="004C5082"/>
    <w:rsid w:val="004C5541"/>
    <w:rsid w:val="004C59BE"/>
    <w:rsid w:val="004C5ED7"/>
    <w:rsid w:val="004C5FD1"/>
    <w:rsid w:val="004C69DC"/>
    <w:rsid w:val="004C6BC2"/>
    <w:rsid w:val="004C6EEE"/>
    <w:rsid w:val="004C702B"/>
    <w:rsid w:val="004C7173"/>
    <w:rsid w:val="004C726E"/>
    <w:rsid w:val="004D0033"/>
    <w:rsid w:val="004D016B"/>
    <w:rsid w:val="004D0CFB"/>
    <w:rsid w:val="004D1AA2"/>
    <w:rsid w:val="004D1B22"/>
    <w:rsid w:val="004D1D45"/>
    <w:rsid w:val="004D1D67"/>
    <w:rsid w:val="004D23CC"/>
    <w:rsid w:val="004D3293"/>
    <w:rsid w:val="004D36F2"/>
    <w:rsid w:val="004D3A35"/>
    <w:rsid w:val="004D43E6"/>
    <w:rsid w:val="004D4798"/>
    <w:rsid w:val="004D6634"/>
    <w:rsid w:val="004D66D0"/>
    <w:rsid w:val="004D759B"/>
    <w:rsid w:val="004E0C4C"/>
    <w:rsid w:val="004E1106"/>
    <w:rsid w:val="004E138F"/>
    <w:rsid w:val="004E2515"/>
    <w:rsid w:val="004E2DED"/>
    <w:rsid w:val="004E2EB2"/>
    <w:rsid w:val="004E39CD"/>
    <w:rsid w:val="004E3E71"/>
    <w:rsid w:val="004E4649"/>
    <w:rsid w:val="004E5C2B"/>
    <w:rsid w:val="004E5CC6"/>
    <w:rsid w:val="004E784A"/>
    <w:rsid w:val="004E793D"/>
    <w:rsid w:val="004E7E83"/>
    <w:rsid w:val="004F00DD"/>
    <w:rsid w:val="004F124F"/>
    <w:rsid w:val="004F13F8"/>
    <w:rsid w:val="004F1C27"/>
    <w:rsid w:val="004F1C2C"/>
    <w:rsid w:val="004F2133"/>
    <w:rsid w:val="004F3362"/>
    <w:rsid w:val="004F3AE3"/>
    <w:rsid w:val="004F3EBF"/>
    <w:rsid w:val="004F4565"/>
    <w:rsid w:val="004F4FBE"/>
    <w:rsid w:val="004F5398"/>
    <w:rsid w:val="004F55F1"/>
    <w:rsid w:val="004F5728"/>
    <w:rsid w:val="004F5E1D"/>
    <w:rsid w:val="004F66CB"/>
    <w:rsid w:val="004F6936"/>
    <w:rsid w:val="004F7B35"/>
    <w:rsid w:val="00500648"/>
    <w:rsid w:val="00500797"/>
    <w:rsid w:val="00502246"/>
    <w:rsid w:val="005024C1"/>
    <w:rsid w:val="005027EF"/>
    <w:rsid w:val="00502CCD"/>
    <w:rsid w:val="00502EA8"/>
    <w:rsid w:val="00502FAE"/>
    <w:rsid w:val="00503757"/>
    <w:rsid w:val="00503AE6"/>
    <w:rsid w:val="00503DC6"/>
    <w:rsid w:val="005040A0"/>
    <w:rsid w:val="005045AB"/>
    <w:rsid w:val="00504E99"/>
    <w:rsid w:val="00505022"/>
    <w:rsid w:val="0050620B"/>
    <w:rsid w:val="00506775"/>
    <w:rsid w:val="00506F5D"/>
    <w:rsid w:val="00507C3C"/>
    <w:rsid w:val="00510C37"/>
    <w:rsid w:val="00510D0B"/>
    <w:rsid w:val="0051148D"/>
    <w:rsid w:val="00511AA5"/>
    <w:rsid w:val="005126D0"/>
    <w:rsid w:val="00513109"/>
    <w:rsid w:val="00513E19"/>
    <w:rsid w:val="005141FF"/>
    <w:rsid w:val="00514667"/>
    <w:rsid w:val="00514C6F"/>
    <w:rsid w:val="0051568D"/>
    <w:rsid w:val="00516D9D"/>
    <w:rsid w:val="0051731C"/>
    <w:rsid w:val="005177FD"/>
    <w:rsid w:val="0052495C"/>
    <w:rsid w:val="00525048"/>
    <w:rsid w:val="005257A5"/>
    <w:rsid w:val="00525A2F"/>
    <w:rsid w:val="00525AC3"/>
    <w:rsid w:val="00526AC7"/>
    <w:rsid w:val="00526C15"/>
    <w:rsid w:val="00526C3C"/>
    <w:rsid w:val="00526C9E"/>
    <w:rsid w:val="00526DF9"/>
    <w:rsid w:val="00526F69"/>
    <w:rsid w:val="00527210"/>
    <w:rsid w:val="00527918"/>
    <w:rsid w:val="005302AD"/>
    <w:rsid w:val="00530EAA"/>
    <w:rsid w:val="00531298"/>
    <w:rsid w:val="005315FB"/>
    <w:rsid w:val="005319D7"/>
    <w:rsid w:val="00531DD8"/>
    <w:rsid w:val="00532883"/>
    <w:rsid w:val="0053299C"/>
    <w:rsid w:val="00533073"/>
    <w:rsid w:val="00533D16"/>
    <w:rsid w:val="00534196"/>
    <w:rsid w:val="00534AF2"/>
    <w:rsid w:val="00534D4A"/>
    <w:rsid w:val="005352D3"/>
    <w:rsid w:val="005356B5"/>
    <w:rsid w:val="00536499"/>
    <w:rsid w:val="005365D7"/>
    <w:rsid w:val="00536948"/>
    <w:rsid w:val="00536B6C"/>
    <w:rsid w:val="00536D61"/>
    <w:rsid w:val="00536FCE"/>
    <w:rsid w:val="005377F7"/>
    <w:rsid w:val="00537992"/>
    <w:rsid w:val="005401DF"/>
    <w:rsid w:val="00540A4D"/>
    <w:rsid w:val="00540F15"/>
    <w:rsid w:val="00541355"/>
    <w:rsid w:val="00542A03"/>
    <w:rsid w:val="0054351F"/>
    <w:rsid w:val="00543903"/>
    <w:rsid w:val="00543BCC"/>
    <w:rsid w:val="00543E24"/>
    <w:rsid w:val="00543F11"/>
    <w:rsid w:val="0054411E"/>
    <w:rsid w:val="00545015"/>
    <w:rsid w:val="00546305"/>
    <w:rsid w:val="005469AF"/>
    <w:rsid w:val="005474C4"/>
    <w:rsid w:val="00547A95"/>
    <w:rsid w:val="00547FB2"/>
    <w:rsid w:val="00550235"/>
    <w:rsid w:val="0055119B"/>
    <w:rsid w:val="00551234"/>
    <w:rsid w:val="00551887"/>
    <w:rsid w:val="00553A68"/>
    <w:rsid w:val="005548CA"/>
    <w:rsid w:val="00555A20"/>
    <w:rsid w:val="0055604E"/>
    <w:rsid w:val="00556DF6"/>
    <w:rsid w:val="005577A5"/>
    <w:rsid w:val="0055785C"/>
    <w:rsid w:val="0056005A"/>
    <w:rsid w:val="0056048D"/>
    <w:rsid w:val="00560B22"/>
    <w:rsid w:val="00561202"/>
    <w:rsid w:val="00561AAA"/>
    <w:rsid w:val="00561C23"/>
    <w:rsid w:val="0056218A"/>
    <w:rsid w:val="00562507"/>
    <w:rsid w:val="00562811"/>
    <w:rsid w:val="00562F27"/>
    <w:rsid w:val="00563510"/>
    <w:rsid w:val="00564A2C"/>
    <w:rsid w:val="00565A21"/>
    <w:rsid w:val="0056666F"/>
    <w:rsid w:val="00566A0E"/>
    <w:rsid w:val="00566DBA"/>
    <w:rsid w:val="0056751E"/>
    <w:rsid w:val="00572031"/>
    <w:rsid w:val="00572120"/>
    <w:rsid w:val="005721D7"/>
    <w:rsid w:val="00572282"/>
    <w:rsid w:val="005727E9"/>
    <w:rsid w:val="00573CE3"/>
    <w:rsid w:val="00574434"/>
    <w:rsid w:val="005745B5"/>
    <w:rsid w:val="0057690D"/>
    <w:rsid w:val="00576ADE"/>
    <w:rsid w:val="00576E84"/>
    <w:rsid w:val="00577731"/>
    <w:rsid w:val="00580354"/>
    <w:rsid w:val="00580394"/>
    <w:rsid w:val="005809CD"/>
    <w:rsid w:val="005818B1"/>
    <w:rsid w:val="005826CC"/>
    <w:rsid w:val="00582A47"/>
    <w:rsid w:val="00582B8C"/>
    <w:rsid w:val="00583D63"/>
    <w:rsid w:val="00583D7C"/>
    <w:rsid w:val="00583DF3"/>
    <w:rsid w:val="00583EA9"/>
    <w:rsid w:val="0058412B"/>
    <w:rsid w:val="005856B5"/>
    <w:rsid w:val="00586B24"/>
    <w:rsid w:val="0058757E"/>
    <w:rsid w:val="0059002B"/>
    <w:rsid w:val="00590DF2"/>
    <w:rsid w:val="00591CD3"/>
    <w:rsid w:val="005923C9"/>
    <w:rsid w:val="00592910"/>
    <w:rsid w:val="00592DC8"/>
    <w:rsid w:val="00592F95"/>
    <w:rsid w:val="00593A99"/>
    <w:rsid w:val="00594272"/>
    <w:rsid w:val="00594CCE"/>
    <w:rsid w:val="00595A9E"/>
    <w:rsid w:val="00596A4B"/>
    <w:rsid w:val="00597507"/>
    <w:rsid w:val="00597D6C"/>
    <w:rsid w:val="00597E74"/>
    <w:rsid w:val="005A00ED"/>
    <w:rsid w:val="005A0988"/>
    <w:rsid w:val="005A0CF3"/>
    <w:rsid w:val="005A109D"/>
    <w:rsid w:val="005A1223"/>
    <w:rsid w:val="005A1FD6"/>
    <w:rsid w:val="005A25BE"/>
    <w:rsid w:val="005A2AF8"/>
    <w:rsid w:val="005A32A5"/>
    <w:rsid w:val="005A32CE"/>
    <w:rsid w:val="005A3474"/>
    <w:rsid w:val="005A3978"/>
    <w:rsid w:val="005A3F31"/>
    <w:rsid w:val="005A479D"/>
    <w:rsid w:val="005A4C22"/>
    <w:rsid w:val="005A52E9"/>
    <w:rsid w:val="005A54B1"/>
    <w:rsid w:val="005A550A"/>
    <w:rsid w:val="005A688B"/>
    <w:rsid w:val="005A692D"/>
    <w:rsid w:val="005A6A47"/>
    <w:rsid w:val="005A6E5C"/>
    <w:rsid w:val="005A71CA"/>
    <w:rsid w:val="005B1222"/>
    <w:rsid w:val="005B1613"/>
    <w:rsid w:val="005B1B6D"/>
    <w:rsid w:val="005B1C6D"/>
    <w:rsid w:val="005B21B6"/>
    <w:rsid w:val="005B3A08"/>
    <w:rsid w:val="005B5A73"/>
    <w:rsid w:val="005B68DE"/>
    <w:rsid w:val="005B6AB9"/>
    <w:rsid w:val="005B7A63"/>
    <w:rsid w:val="005B7D72"/>
    <w:rsid w:val="005C04B6"/>
    <w:rsid w:val="005C0955"/>
    <w:rsid w:val="005C0B79"/>
    <w:rsid w:val="005C1F86"/>
    <w:rsid w:val="005C4552"/>
    <w:rsid w:val="005C49DA"/>
    <w:rsid w:val="005C504B"/>
    <w:rsid w:val="005C50F3"/>
    <w:rsid w:val="005C52D1"/>
    <w:rsid w:val="005C54B5"/>
    <w:rsid w:val="005C5918"/>
    <w:rsid w:val="005C5D80"/>
    <w:rsid w:val="005C5D91"/>
    <w:rsid w:val="005C687C"/>
    <w:rsid w:val="005C692C"/>
    <w:rsid w:val="005D01D3"/>
    <w:rsid w:val="005D0552"/>
    <w:rsid w:val="005D07B8"/>
    <w:rsid w:val="005D1125"/>
    <w:rsid w:val="005D2C87"/>
    <w:rsid w:val="005D2E7C"/>
    <w:rsid w:val="005D337F"/>
    <w:rsid w:val="005D33C0"/>
    <w:rsid w:val="005D3F57"/>
    <w:rsid w:val="005D44C1"/>
    <w:rsid w:val="005D50FB"/>
    <w:rsid w:val="005D5FB1"/>
    <w:rsid w:val="005D63F0"/>
    <w:rsid w:val="005D6597"/>
    <w:rsid w:val="005D66EB"/>
    <w:rsid w:val="005D7F5C"/>
    <w:rsid w:val="005E1419"/>
    <w:rsid w:val="005E14E7"/>
    <w:rsid w:val="005E26A3"/>
    <w:rsid w:val="005E2B8D"/>
    <w:rsid w:val="005E2ECB"/>
    <w:rsid w:val="005E2F14"/>
    <w:rsid w:val="005E3414"/>
    <w:rsid w:val="005E35CB"/>
    <w:rsid w:val="005E447E"/>
    <w:rsid w:val="005E4FD1"/>
    <w:rsid w:val="005E5921"/>
    <w:rsid w:val="005E6C69"/>
    <w:rsid w:val="005E7D90"/>
    <w:rsid w:val="005E7FAF"/>
    <w:rsid w:val="005F0041"/>
    <w:rsid w:val="005F0071"/>
    <w:rsid w:val="005F0628"/>
    <w:rsid w:val="005F0775"/>
    <w:rsid w:val="005F0C31"/>
    <w:rsid w:val="005F0CF5"/>
    <w:rsid w:val="005F0E20"/>
    <w:rsid w:val="005F1549"/>
    <w:rsid w:val="005F2182"/>
    <w:rsid w:val="005F21EB"/>
    <w:rsid w:val="005F2CF4"/>
    <w:rsid w:val="005F2D6C"/>
    <w:rsid w:val="005F2EE4"/>
    <w:rsid w:val="005F3A2E"/>
    <w:rsid w:val="005F3A74"/>
    <w:rsid w:val="005F4C25"/>
    <w:rsid w:val="005F5526"/>
    <w:rsid w:val="005F5B07"/>
    <w:rsid w:val="005F64CF"/>
    <w:rsid w:val="005F7866"/>
    <w:rsid w:val="005F7E3B"/>
    <w:rsid w:val="005F7FF8"/>
    <w:rsid w:val="0060001D"/>
    <w:rsid w:val="006005D8"/>
    <w:rsid w:val="00600609"/>
    <w:rsid w:val="00600A5B"/>
    <w:rsid w:val="0060168E"/>
    <w:rsid w:val="00603E59"/>
    <w:rsid w:val="006041AD"/>
    <w:rsid w:val="0060523B"/>
    <w:rsid w:val="006052A0"/>
    <w:rsid w:val="00605395"/>
    <w:rsid w:val="00605908"/>
    <w:rsid w:val="006060CF"/>
    <w:rsid w:val="00606D77"/>
    <w:rsid w:val="006075AC"/>
    <w:rsid w:val="00607850"/>
    <w:rsid w:val="00607CE6"/>
    <w:rsid w:val="00607EF7"/>
    <w:rsid w:val="00610672"/>
    <w:rsid w:val="00610CA0"/>
    <w:rsid w:val="00610D7C"/>
    <w:rsid w:val="00610EC3"/>
    <w:rsid w:val="00611DF1"/>
    <w:rsid w:val="00613414"/>
    <w:rsid w:val="00613C7C"/>
    <w:rsid w:val="00614616"/>
    <w:rsid w:val="0061530F"/>
    <w:rsid w:val="0061645E"/>
    <w:rsid w:val="006164CA"/>
    <w:rsid w:val="0061727D"/>
    <w:rsid w:val="00620154"/>
    <w:rsid w:val="00620F8C"/>
    <w:rsid w:val="00621031"/>
    <w:rsid w:val="006211BD"/>
    <w:rsid w:val="00621CC6"/>
    <w:rsid w:val="00622072"/>
    <w:rsid w:val="0062254C"/>
    <w:rsid w:val="00622CD7"/>
    <w:rsid w:val="00623C93"/>
    <w:rsid w:val="0062408D"/>
    <w:rsid w:val="006240CC"/>
    <w:rsid w:val="00624940"/>
    <w:rsid w:val="00625110"/>
    <w:rsid w:val="006254F8"/>
    <w:rsid w:val="00627491"/>
    <w:rsid w:val="00627543"/>
    <w:rsid w:val="00627DA7"/>
    <w:rsid w:val="00627EED"/>
    <w:rsid w:val="0063030D"/>
    <w:rsid w:val="0063053A"/>
    <w:rsid w:val="00630DA4"/>
    <w:rsid w:val="00631CD4"/>
    <w:rsid w:val="00632597"/>
    <w:rsid w:val="00632686"/>
    <w:rsid w:val="00632D4C"/>
    <w:rsid w:val="0063302A"/>
    <w:rsid w:val="00633180"/>
    <w:rsid w:val="006341E3"/>
    <w:rsid w:val="006348D2"/>
    <w:rsid w:val="00634D13"/>
    <w:rsid w:val="00635542"/>
    <w:rsid w:val="0063563D"/>
    <w:rsid w:val="006358B4"/>
    <w:rsid w:val="0063609E"/>
    <w:rsid w:val="006365D0"/>
    <w:rsid w:val="00636831"/>
    <w:rsid w:val="00636FC8"/>
    <w:rsid w:val="00640E02"/>
    <w:rsid w:val="00641724"/>
    <w:rsid w:val="006419AA"/>
    <w:rsid w:val="00642326"/>
    <w:rsid w:val="00644443"/>
    <w:rsid w:val="00644702"/>
    <w:rsid w:val="00644A53"/>
    <w:rsid w:val="00644B1F"/>
    <w:rsid w:val="00644B7E"/>
    <w:rsid w:val="00644D6B"/>
    <w:rsid w:val="0064513E"/>
    <w:rsid w:val="006454E6"/>
    <w:rsid w:val="00646235"/>
    <w:rsid w:val="00646395"/>
    <w:rsid w:val="00646658"/>
    <w:rsid w:val="00646A68"/>
    <w:rsid w:val="00646D66"/>
    <w:rsid w:val="0064716E"/>
    <w:rsid w:val="00647574"/>
    <w:rsid w:val="00647AFE"/>
    <w:rsid w:val="006500E1"/>
    <w:rsid w:val="00650122"/>
    <w:rsid w:val="006505BD"/>
    <w:rsid w:val="006508EA"/>
    <w:rsid w:val="0065092E"/>
    <w:rsid w:val="00651A6E"/>
    <w:rsid w:val="00653669"/>
    <w:rsid w:val="00653862"/>
    <w:rsid w:val="00655306"/>
    <w:rsid w:val="006554A9"/>
    <w:rsid w:val="006557A7"/>
    <w:rsid w:val="00656290"/>
    <w:rsid w:val="0065728A"/>
    <w:rsid w:val="006601C9"/>
    <w:rsid w:val="006606AA"/>
    <w:rsid w:val="006608D8"/>
    <w:rsid w:val="00660E7F"/>
    <w:rsid w:val="0066154D"/>
    <w:rsid w:val="00661A94"/>
    <w:rsid w:val="006621D7"/>
    <w:rsid w:val="00662F9E"/>
    <w:rsid w:val="0066302A"/>
    <w:rsid w:val="0066321C"/>
    <w:rsid w:val="0066420C"/>
    <w:rsid w:val="006643DA"/>
    <w:rsid w:val="00665346"/>
    <w:rsid w:val="0066544A"/>
    <w:rsid w:val="00665677"/>
    <w:rsid w:val="006673F5"/>
    <w:rsid w:val="00667770"/>
    <w:rsid w:val="00667ECD"/>
    <w:rsid w:val="0067051F"/>
    <w:rsid w:val="00670597"/>
    <w:rsid w:val="006706D0"/>
    <w:rsid w:val="00671743"/>
    <w:rsid w:val="0067189A"/>
    <w:rsid w:val="00671C05"/>
    <w:rsid w:val="00673967"/>
    <w:rsid w:val="0067461B"/>
    <w:rsid w:val="006753CE"/>
    <w:rsid w:val="00677384"/>
    <w:rsid w:val="00677574"/>
    <w:rsid w:val="00677D74"/>
    <w:rsid w:val="00677F65"/>
    <w:rsid w:val="006800D9"/>
    <w:rsid w:val="00680CB1"/>
    <w:rsid w:val="006812ED"/>
    <w:rsid w:val="006829E3"/>
    <w:rsid w:val="00683564"/>
    <w:rsid w:val="00683583"/>
    <w:rsid w:val="00683878"/>
    <w:rsid w:val="006838B5"/>
    <w:rsid w:val="00684214"/>
    <w:rsid w:val="00684380"/>
    <w:rsid w:val="0068454C"/>
    <w:rsid w:val="00684947"/>
    <w:rsid w:val="00684B70"/>
    <w:rsid w:val="00685069"/>
    <w:rsid w:val="00685BD2"/>
    <w:rsid w:val="0068658B"/>
    <w:rsid w:val="00686702"/>
    <w:rsid w:val="00686EB5"/>
    <w:rsid w:val="00686F1E"/>
    <w:rsid w:val="00687385"/>
    <w:rsid w:val="0068739C"/>
    <w:rsid w:val="006876A9"/>
    <w:rsid w:val="006877E8"/>
    <w:rsid w:val="00687A0E"/>
    <w:rsid w:val="00690448"/>
    <w:rsid w:val="00691B62"/>
    <w:rsid w:val="006921CA"/>
    <w:rsid w:val="0069221D"/>
    <w:rsid w:val="006933B5"/>
    <w:rsid w:val="00693D14"/>
    <w:rsid w:val="00694575"/>
    <w:rsid w:val="00694D37"/>
    <w:rsid w:val="00694E1C"/>
    <w:rsid w:val="00695379"/>
    <w:rsid w:val="00695909"/>
    <w:rsid w:val="00695A0D"/>
    <w:rsid w:val="00695A93"/>
    <w:rsid w:val="00696F27"/>
    <w:rsid w:val="00697CB5"/>
    <w:rsid w:val="006A0465"/>
    <w:rsid w:val="006A0EA9"/>
    <w:rsid w:val="006A18C2"/>
    <w:rsid w:val="006A2031"/>
    <w:rsid w:val="006A2166"/>
    <w:rsid w:val="006A22A2"/>
    <w:rsid w:val="006A232D"/>
    <w:rsid w:val="006A2A8B"/>
    <w:rsid w:val="006A2EE5"/>
    <w:rsid w:val="006A3383"/>
    <w:rsid w:val="006A3ACD"/>
    <w:rsid w:val="006A3C03"/>
    <w:rsid w:val="006A4022"/>
    <w:rsid w:val="006A4946"/>
    <w:rsid w:val="006A4D0E"/>
    <w:rsid w:val="006A52DD"/>
    <w:rsid w:val="006A677A"/>
    <w:rsid w:val="006A7666"/>
    <w:rsid w:val="006A7F5A"/>
    <w:rsid w:val="006B077C"/>
    <w:rsid w:val="006B0C81"/>
    <w:rsid w:val="006B163B"/>
    <w:rsid w:val="006B16AF"/>
    <w:rsid w:val="006B26BA"/>
    <w:rsid w:val="006B2D4F"/>
    <w:rsid w:val="006B3DAE"/>
    <w:rsid w:val="006B3F96"/>
    <w:rsid w:val="006B440A"/>
    <w:rsid w:val="006B6803"/>
    <w:rsid w:val="006B78B5"/>
    <w:rsid w:val="006B7EB6"/>
    <w:rsid w:val="006C165D"/>
    <w:rsid w:val="006C1FA0"/>
    <w:rsid w:val="006C33F2"/>
    <w:rsid w:val="006C35D5"/>
    <w:rsid w:val="006C3A31"/>
    <w:rsid w:val="006C49A6"/>
    <w:rsid w:val="006C4A62"/>
    <w:rsid w:val="006C4EAF"/>
    <w:rsid w:val="006C5018"/>
    <w:rsid w:val="006C5262"/>
    <w:rsid w:val="006C5A49"/>
    <w:rsid w:val="006C5F13"/>
    <w:rsid w:val="006C749C"/>
    <w:rsid w:val="006D081D"/>
    <w:rsid w:val="006D0BF5"/>
    <w:rsid w:val="006D0F16"/>
    <w:rsid w:val="006D1BBA"/>
    <w:rsid w:val="006D2A3F"/>
    <w:rsid w:val="006D2FBC"/>
    <w:rsid w:val="006D3461"/>
    <w:rsid w:val="006D3BEE"/>
    <w:rsid w:val="006D401C"/>
    <w:rsid w:val="006D427F"/>
    <w:rsid w:val="006D4472"/>
    <w:rsid w:val="006D4808"/>
    <w:rsid w:val="006D534B"/>
    <w:rsid w:val="006D5CAF"/>
    <w:rsid w:val="006D6691"/>
    <w:rsid w:val="006D6E34"/>
    <w:rsid w:val="006D79FF"/>
    <w:rsid w:val="006D7A27"/>
    <w:rsid w:val="006E0DD2"/>
    <w:rsid w:val="006E0E03"/>
    <w:rsid w:val="006E1072"/>
    <w:rsid w:val="006E138B"/>
    <w:rsid w:val="006E1677"/>
    <w:rsid w:val="006E1867"/>
    <w:rsid w:val="006E1988"/>
    <w:rsid w:val="006E2DEE"/>
    <w:rsid w:val="006E4468"/>
    <w:rsid w:val="006E537C"/>
    <w:rsid w:val="006E7358"/>
    <w:rsid w:val="006F0330"/>
    <w:rsid w:val="006F12E9"/>
    <w:rsid w:val="006F1BCC"/>
    <w:rsid w:val="006F1C60"/>
    <w:rsid w:val="006F1FDC"/>
    <w:rsid w:val="006F2DA9"/>
    <w:rsid w:val="006F529F"/>
    <w:rsid w:val="006F6B8C"/>
    <w:rsid w:val="006F7135"/>
    <w:rsid w:val="00700273"/>
    <w:rsid w:val="00700B49"/>
    <w:rsid w:val="007013EF"/>
    <w:rsid w:val="0070177C"/>
    <w:rsid w:val="007023E7"/>
    <w:rsid w:val="007055BD"/>
    <w:rsid w:val="00707FAB"/>
    <w:rsid w:val="00710378"/>
    <w:rsid w:val="00711C93"/>
    <w:rsid w:val="007120F1"/>
    <w:rsid w:val="00712141"/>
    <w:rsid w:val="00712CBB"/>
    <w:rsid w:val="007135A8"/>
    <w:rsid w:val="00713E4C"/>
    <w:rsid w:val="00713F5D"/>
    <w:rsid w:val="007140A5"/>
    <w:rsid w:val="007140D5"/>
    <w:rsid w:val="00715120"/>
    <w:rsid w:val="007151B8"/>
    <w:rsid w:val="00715848"/>
    <w:rsid w:val="00715BB0"/>
    <w:rsid w:val="0071630D"/>
    <w:rsid w:val="00716805"/>
    <w:rsid w:val="00717275"/>
    <w:rsid w:val="007173CA"/>
    <w:rsid w:val="007178E8"/>
    <w:rsid w:val="00717E98"/>
    <w:rsid w:val="00717EA4"/>
    <w:rsid w:val="00720BB9"/>
    <w:rsid w:val="007216AA"/>
    <w:rsid w:val="00721AB5"/>
    <w:rsid w:val="00721CFB"/>
    <w:rsid w:val="00721DEF"/>
    <w:rsid w:val="007229C8"/>
    <w:rsid w:val="00722A48"/>
    <w:rsid w:val="00723595"/>
    <w:rsid w:val="007235EC"/>
    <w:rsid w:val="00723740"/>
    <w:rsid w:val="0072376D"/>
    <w:rsid w:val="00724A43"/>
    <w:rsid w:val="007255E6"/>
    <w:rsid w:val="007263F4"/>
    <w:rsid w:val="007273AC"/>
    <w:rsid w:val="007277FD"/>
    <w:rsid w:val="007278B4"/>
    <w:rsid w:val="00731726"/>
    <w:rsid w:val="00731845"/>
    <w:rsid w:val="00731AD4"/>
    <w:rsid w:val="00732E90"/>
    <w:rsid w:val="007338F1"/>
    <w:rsid w:val="007346E4"/>
    <w:rsid w:val="00735564"/>
    <w:rsid w:val="007355FC"/>
    <w:rsid w:val="00735C45"/>
    <w:rsid w:val="00737EB8"/>
    <w:rsid w:val="00740F22"/>
    <w:rsid w:val="00741849"/>
    <w:rsid w:val="00741977"/>
    <w:rsid w:val="00741CBD"/>
    <w:rsid w:val="00741CF0"/>
    <w:rsid w:val="00741F1A"/>
    <w:rsid w:val="00741F4A"/>
    <w:rsid w:val="007421A9"/>
    <w:rsid w:val="00742660"/>
    <w:rsid w:val="00742737"/>
    <w:rsid w:val="007427FC"/>
    <w:rsid w:val="00742CBD"/>
    <w:rsid w:val="00743272"/>
    <w:rsid w:val="00743A2C"/>
    <w:rsid w:val="007447DA"/>
    <w:rsid w:val="007450F8"/>
    <w:rsid w:val="00746208"/>
    <w:rsid w:val="00746911"/>
    <w:rsid w:val="00746966"/>
    <w:rsid w:val="0074696E"/>
    <w:rsid w:val="0074751A"/>
    <w:rsid w:val="00750135"/>
    <w:rsid w:val="00750E2C"/>
    <w:rsid w:val="00750EC2"/>
    <w:rsid w:val="007513CE"/>
    <w:rsid w:val="007516CB"/>
    <w:rsid w:val="00751FC6"/>
    <w:rsid w:val="00752B28"/>
    <w:rsid w:val="00753302"/>
    <w:rsid w:val="007536AA"/>
    <w:rsid w:val="007536BC"/>
    <w:rsid w:val="007541A9"/>
    <w:rsid w:val="00754911"/>
    <w:rsid w:val="007549D6"/>
    <w:rsid w:val="00754A2E"/>
    <w:rsid w:val="00754E36"/>
    <w:rsid w:val="00755E60"/>
    <w:rsid w:val="007565C9"/>
    <w:rsid w:val="007565E9"/>
    <w:rsid w:val="0075762D"/>
    <w:rsid w:val="0075787D"/>
    <w:rsid w:val="0076013F"/>
    <w:rsid w:val="00760D66"/>
    <w:rsid w:val="00761545"/>
    <w:rsid w:val="007619E2"/>
    <w:rsid w:val="00761ECB"/>
    <w:rsid w:val="00762710"/>
    <w:rsid w:val="00763139"/>
    <w:rsid w:val="007664E7"/>
    <w:rsid w:val="00766F80"/>
    <w:rsid w:val="00767E93"/>
    <w:rsid w:val="007700DC"/>
    <w:rsid w:val="007703D5"/>
    <w:rsid w:val="00770490"/>
    <w:rsid w:val="007704FE"/>
    <w:rsid w:val="00770F37"/>
    <w:rsid w:val="007711A0"/>
    <w:rsid w:val="007711FE"/>
    <w:rsid w:val="00771A19"/>
    <w:rsid w:val="00771FF9"/>
    <w:rsid w:val="00772095"/>
    <w:rsid w:val="00772D5E"/>
    <w:rsid w:val="007736FC"/>
    <w:rsid w:val="007740B1"/>
    <w:rsid w:val="0077463E"/>
    <w:rsid w:val="00774A4F"/>
    <w:rsid w:val="00774DF6"/>
    <w:rsid w:val="00775743"/>
    <w:rsid w:val="00775793"/>
    <w:rsid w:val="0077583F"/>
    <w:rsid w:val="00775918"/>
    <w:rsid w:val="00776928"/>
    <w:rsid w:val="00776D56"/>
    <w:rsid w:val="00776E0F"/>
    <w:rsid w:val="00777243"/>
    <w:rsid w:val="007772E1"/>
    <w:rsid w:val="007774B1"/>
    <w:rsid w:val="007777DA"/>
    <w:rsid w:val="00777BE1"/>
    <w:rsid w:val="00777E74"/>
    <w:rsid w:val="00777F8B"/>
    <w:rsid w:val="00780655"/>
    <w:rsid w:val="0078168A"/>
    <w:rsid w:val="00782222"/>
    <w:rsid w:val="00782B82"/>
    <w:rsid w:val="00782D27"/>
    <w:rsid w:val="00783208"/>
    <w:rsid w:val="007832E0"/>
    <w:rsid w:val="007833D8"/>
    <w:rsid w:val="00783A86"/>
    <w:rsid w:val="0078437D"/>
    <w:rsid w:val="00784ED9"/>
    <w:rsid w:val="00785114"/>
    <w:rsid w:val="00785677"/>
    <w:rsid w:val="007857E1"/>
    <w:rsid w:val="00786F16"/>
    <w:rsid w:val="00787114"/>
    <w:rsid w:val="007872CE"/>
    <w:rsid w:val="00787FAE"/>
    <w:rsid w:val="007903B8"/>
    <w:rsid w:val="00790993"/>
    <w:rsid w:val="00790EA2"/>
    <w:rsid w:val="00791BD7"/>
    <w:rsid w:val="007922BD"/>
    <w:rsid w:val="0079234A"/>
    <w:rsid w:val="00792450"/>
    <w:rsid w:val="00792543"/>
    <w:rsid w:val="00792600"/>
    <w:rsid w:val="00793355"/>
    <w:rsid w:val="007933F7"/>
    <w:rsid w:val="00793CCB"/>
    <w:rsid w:val="007946F5"/>
    <w:rsid w:val="00796091"/>
    <w:rsid w:val="007964AC"/>
    <w:rsid w:val="00796E20"/>
    <w:rsid w:val="00797841"/>
    <w:rsid w:val="00797C32"/>
    <w:rsid w:val="00797E56"/>
    <w:rsid w:val="00797F4D"/>
    <w:rsid w:val="007A11E8"/>
    <w:rsid w:val="007A1473"/>
    <w:rsid w:val="007A1CCE"/>
    <w:rsid w:val="007A2894"/>
    <w:rsid w:val="007A2FED"/>
    <w:rsid w:val="007A36DD"/>
    <w:rsid w:val="007A37E1"/>
    <w:rsid w:val="007A3812"/>
    <w:rsid w:val="007A4EF1"/>
    <w:rsid w:val="007A55C2"/>
    <w:rsid w:val="007A5630"/>
    <w:rsid w:val="007A5896"/>
    <w:rsid w:val="007A6074"/>
    <w:rsid w:val="007A677D"/>
    <w:rsid w:val="007A6ABA"/>
    <w:rsid w:val="007B0914"/>
    <w:rsid w:val="007B1374"/>
    <w:rsid w:val="007B1F11"/>
    <w:rsid w:val="007B2199"/>
    <w:rsid w:val="007B2C3D"/>
    <w:rsid w:val="007B32E5"/>
    <w:rsid w:val="007B3DB9"/>
    <w:rsid w:val="007B3E25"/>
    <w:rsid w:val="007B4D0D"/>
    <w:rsid w:val="007B4FD7"/>
    <w:rsid w:val="007B5035"/>
    <w:rsid w:val="007B589F"/>
    <w:rsid w:val="007B6186"/>
    <w:rsid w:val="007B6C12"/>
    <w:rsid w:val="007B6E6C"/>
    <w:rsid w:val="007B6FCE"/>
    <w:rsid w:val="007B73BC"/>
    <w:rsid w:val="007B7DB8"/>
    <w:rsid w:val="007C15A8"/>
    <w:rsid w:val="007C1838"/>
    <w:rsid w:val="007C20B9"/>
    <w:rsid w:val="007C22DF"/>
    <w:rsid w:val="007C29CC"/>
    <w:rsid w:val="007C2B02"/>
    <w:rsid w:val="007C35A9"/>
    <w:rsid w:val="007C3FEA"/>
    <w:rsid w:val="007C478F"/>
    <w:rsid w:val="007C486D"/>
    <w:rsid w:val="007C6779"/>
    <w:rsid w:val="007C6B2E"/>
    <w:rsid w:val="007C7301"/>
    <w:rsid w:val="007C75C6"/>
    <w:rsid w:val="007C7859"/>
    <w:rsid w:val="007C7E65"/>
    <w:rsid w:val="007C7F28"/>
    <w:rsid w:val="007D0EE8"/>
    <w:rsid w:val="007D1466"/>
    <w:rsid w:val="007D1470"/>
    <w:rsid w:val="007D15FD"/>
    <w:rsid w:val="007D2BDE"/>
    <w:rsid w:val="007D2BF6"/>
    <w:rsid w:val="007D2FB6"/>
    <w:rsid w:val="007D3436"/>
    <w:rsid w:val="007D424E"/>
    <w:rsid w:val="007D4316"/>
    <w:rsid w:val="007D4497"/>
    <w:rsid w:val="007D4742"/>
    <w:rsid w:val="007D49EB"/>
    <w:rsid w:val="007D555C"/>
    <w:rsid w:val="007D5DBF"/>
    <w:rsid w:val="007D5E1C"/>
    <w:rsid w:val="007D631F"/>
    <w:rsid w:val="007D647B"/>
    <w:rsid w:val="007D66E5"/>
    <w:rsid w:val="007D6A05"/>
    <w:rsid w:val="007D6A74"/>
    <w:rsid w:val="007D6E99"/>
    <w:rsid w:val="007E0B52"/>
    <w:rsid w:val="007E0DE2"/>
    <w:rsid w:val="007E34C4"/>
    <w:rsid w:val="007E3667"/>
    <w:rsid w:val="007E3A68"/>
    <w:rsid w:val="007E3B98"/>
    <w:rsid w:val="007E417A"/>
    <w:rsid w:val="007E5947"/>
    <w:rsid w:val="007E6089"/>
    <w:rsid w:val="007E7814"/>
    <w:rsid w:val="007E78A9"/>
    <w:rsid w:val="007E7939"/>
    <w:rsid w:val="007E79F6"/>
    <w:rsid w:val="007F0978"/>
    <w:rsid w:val="007F100E"/>
    <w:rsid w:val="007F18F6"/>
    <w:rsid w:val="007F2A9C"/>
    <w:rsid w:val="007F31B6"/>
    <w:rsid w:val="007F415B"/>
    <w:rsid w:val="007F4AF1"/>
    <w:rsid w:val="007F546C"/>
    <w:rsid w:val="007F5A13"/>
    <w:rsid w:val="007F625F"/>
    <w:rsid w:val="007F665E"/>
    <w:rsid w:val="007F6F33"/>
    <w:rsid w:val="007F707F"/>
    <w:rsid w:val="007F7C06"/>
    <w:rsid w:val="00800412"/>
    <w:rsid w:val="008033B9"/>
    <w:rsid w:val="0080357F"/>
    <w:rsid w:val="00803958"/>
    <w:rsid w:val="00803C31"/>
    <w:rsid w:val="008048EC"/>
    <w:rsid w:val="00804C4A"/>
    <w:rsid w:val="00804E1B"/>
    <w:rsid w:val="00805571"/>
    <w:rsid w:val="0080587B"/>
    <w:rsid w:val="00806358"/>
    <w:rsid w:val="00806468"/>
    <w:rsid w:val="0080C895"/>
    <w:rsid w:val="008105DE"/>
    <w:rsid w:val="00810F1C"/>
    <w:rsid w:val="008119CA"/>
    <w:rsid w:val="00811BBF"/>
    <w:rsid w:val="0081217C"/>
    <w:rsid w:val="008130C4"/>
    <w:rsid w:val="0081311F"/>
    <w:rsid w:val="00813D19"/>
    <w:rsid w:val="0081404E"/>
    <w:rsid w:val="008155F0"/>
    <w:rsid w:val="008163B1"/>
    <w:rsid w:val="00816735"/>
    <w:rsid w:val="0081783A"/>
    <w:rsid w:val="00820141"/>
    <w:rsid w:val="00820457"/>
    <w:rsid w:val="008206D1"/>
    <w:rsid w:val="00820E0C"/>
    <w:rsid w:val="0082100D"/>
    <w:rsid w:val="008212FE"/>
    <w:rsid w:val="008215B3"/>
    <w:rsid w:val="008217BD"/>
    <w:rsid w:val="008224C2"/>
    <w:rsid w:val="0082254E"/>
    <w:rsid w:val="00822554"/>
    <w:rsid w:val="00823275"/>
    <w:rsid w:val="0082341A"/>
    <w:rsid w:val="008234C2"/>
    <w:rsid w:val="0082366F"/>
    <w:rsid w:val="00823A2E"/>
    <w:rsid w:val="00823C04"/>
    <w:rsid w:val="0082432E"/>
    <w:rsid w:val="008250DA"/>
    <w:rsid w:val="008251B7"/>
    <w:rsid w:val="00825B2F"/>
    <w:rsid w:val="0082732E"/>
    <w:rsid w:val="0082770F"/>
    <w:rsid w:val="0083016F"/>
    <w:rsid w:val="008308C3"/>
    <w:rsid w:val="008338A2"/>
    <w:rsid w:val="00834B9D"/>
    <w:rsid w:val="00835358"/>
    <w:rsid w:val="008358D1"/>
    <w:rsid w:val="00835C08"/>
    <w:rsid w:val="008365D8"/>
    <w:rsid w:val="00836E27"/>
    <w:rsid w:val="0084062F"/>
    <w:rsid w:val="008416F2"/>
    <w:rsid w:val="00841783"/>
    <w:rsid w:val="008419F6"/>
    <w:rsid w:val="00841AA9"/>
    <w:rsid w:val="00842E06"/>
    <w:rsid w:val="00842E23"/>
    <w:rsid w:val="00842FEC"/>
    <w:rsid w:val="00843D07"/>
    <w:rsid w:val="008456D1"/>
    <w:rsid w:val="008461D8"/>
    <w:rsid w:val="008473FE"/>
    <w:rsid w:val="008474FE"/>
    <w:rsid w:val="00847DDE"/>
    <w:rsid w:val="0084CD32"/>
    <w:rsid w:val="00851D2F"/>
    <w:rsid w:val="0085232E"/>
    <w:rsid w:val="00852D1C"/>
    <w:rsid w:val="00852D31"/>
    <w:rsid w:val="00852EB2"/>
    <w:rsid w:val="00852FCF"/>
    <w:rsid w:val="00853EE4"/>
    <w:rsid w:val="008548A2"/>
    <w:rsid w:val="00854BC1"/>
    <w:rsid w:val="00855535"/>
    <w:rsid w:val="008559B1"/>
    <w:rsid w:val="00855A89"/>
    <w:rsid w:val="008571E0"/>
    <w:rsid w:val="008572FC"/>
    <w:rsid w:val="00857C5A"/>
    <w:rsid w:val="00860A3C"/>
    <w:rsid w:val="008614D5"/>
    <w:rsid w:val="00861AEA"/>
    <w:rsid w:val="0086255E"/>
    <w:rsid w:val="00862A37"/>
    <w:rsid w:val="008633F0"/>
    <w:rsid w:val="00863B50"/>
    <w:rsid w:val="00863B6D"/>
    <w:rsid w:val="00864205"/>
    <w:rsid w:val="008643E6"/>
    <w:rsid w:val="0086524E"/>
    <w:rsid w:val="00866711"/>
    <w:rsid w:val="00867497"/>
    <w:rsid w:val="008676F4"/>
    <w:rsid w:val="00867D9D"/>
    <w:rsid w:val="00867F87"/>
    <w:rsid w:val="00870DB8"/>
    <w:rsid w:val="00871909"/>
    <w:rsid w:val="00871B1D"/>
    <w:rsid w:val="00871CAA"/>
    <w:rsid w:val="008722F3"/>
    <w:rsid w:val="00872A72"/>
    <w:rsid w:val="00872C54"/>
    <w:rsid w:val="00872E0A"/>
    <w:rsid w:val="00872E54"/>
    <w:rsid w:val="00872FA1"/>
    <w:rsid w:val="008732BF"/>
    <w:rsid w:val="00873594"/>
    <w:rsid w:val="00873A60"/>
    <w:rsid w:val="00873F7F"/>
    <w:rsid w:val="0087436F"/>
    <w:rsid w:val="008749AC"/>
    <w:rsid w:val="00875055"/>
    <w:rsid w:val="00875285"/>
    <w:rsid w:val="00875FCF"/>
    <w:rsid w:val="00876757"/>
    <w:rsid w:val="00876BEF"/>
    <w:rsid w:val="00877A47"/>
    <w:rsid w:val="008817D0"/>
    <w:rsid w:val="00881866"/>
    <w:rsid w:val="00881960"/>
    <w:rsid w:val="00881F28"/>
    <w:rsid w:val="0088279B"/>
    <w:rsid w:val="00883390"/>
    <w:rsid w:val="0088416F"/>
    <w:rsid w:val="00884B62"/>
    <w:rsid w:val="0088524C"/>
    <w:rsid w:val="0088529C"/>
    <w:rsid w:val="00886272"/>
    <w:rsid w:val="008866FB"/>
    <w:rsid w:val="00887159"/>
    <w:rsid w:val="00887214"/>
    <w:rsid w:val="008877CB"/>
    <w:rsid w:val="00887903"/>
    <w:rsid w:val="00887F2B"/>
    <w:rsid w:val="0089023F"/>
    <w:rsid w:val="00891459"/>
    <w:rsid w:val="0089235B"/>
    <w:rsid w:val="0089270A"/>
    <w:rsid w:val="00893AF6"/>
    <w:rsid w:val="00893E9E"/>
    <w:rsid w:val="00894880"/>
    <w:rsid w:val="00894BC4"/>
    <w:rsid w:val="00894F75"/>
    <w:rsid w:val="00896266"/>
    <w:rsid w:val="008962B6"/>
    <w:rsid w:val="00896890"/>
    <w:rsid w:val="00897813"/>
    <w:rsid w:val="008A09D3"/>
    <w:rsid w:val="008A116C"/>
    <w:rsid w:val="008A28A8"/>
    <w:rsid w:val="008A30BA"/>
    <w:rsid w:val="008A32CC"/>
    <w:rsid w:val="008A3644"/>
    <w:rsid w:val="008A44F6"/>
    <w:rsid w:val="008A4582"/>
    <w:rsid w:val="008A47A9"/>
    <w:rsid w:val="008A4A74"/>
    <w:rsid w:val="008A4BA7"/>
    <w:rsid w:val="008A4BD7"/>
    <w:rsid w:val="008A4F24"/>
    <w:rsid w:val="008A550A"/>
    <w:rsid w:val="008A5B32"/>
    <w:rsid w:val="008A5D60"/>
    <w:rsid w:val="008B0455"/>
    <w:rsid w:val="008B0DFD"/>
    <w:rsid w:val="008B101F"/>
    <w:rsid w:val="008B18AF"/>
    <w:rsid w:val="008B1DE3"/>
    <w:rsid w:val="008B2029"/>
    <w:rsid w:val="008B213F"/>
    <w:rsid w:val="008B29D8"/>
    <w:rsid w:val="008B2EE4"/>
    <w:rsid w:val="008B3420"/>
    <w:rsid w:val="008B35C4"/>
    <w:rsid w:val="008B3821"/>
    <w:rsid w:val="008B3AA9"/>
    <w:rsid w:val="008B4355"/>
    <w:rsid w:val="008B4D3D"/>
    <w:rsid w:val="008B511A"/>
    <w:rsid w:val="008B57C7"/>
    <w:rsid w:val="008B5AFF"/>
    <w:rsid w:val="008B5EC3"/>
    <w:rsid w:val="008B5EFF"/>
    <w:rsid w:val="008B65AF"/>
    <w:rsid w:val="008B67F9"/>
    <w:rsid w:val="008B6F1E"/>
    <w:rsid w:val="008B6F42"/>
    <w:rsid w:val="008B7511"/>
    <w:rsid w:val="008B7B39"/>
    <w:rsid w:val="008C0C41"/>
    <w:rsid w:val="008C1FC7"/>
    <w:rsid w:val="008C24A7"/>
    <w:rsid w:val="008C2F92"/>
    <w:rsid w:val="008C3546"/>
    <w:rsid w:val="008C40CF"/>
    <w:rsid w:val="008C4280"/>
    <w:rsid w:val="008C4A9A"/>
    <w:rsid w:val="008C5000"/>
    <w:rsid w:val="008C50AB"/>
    <w:rsid w:val="008C573B"/>
    <w:rsid w:val="008C589D"/>
    <w:rsid w:val="008C590D"/>
    <w:rsid w:val="008C6141"/>
    <w:rsid w:val="008C628C"/>
    <w:rsid w:val="008C67EE"/>
    <w:rsid w:val="008C6804"/>
    <w:rsid w:val="008C6D51"/>
    <w:rsid w:val="008C6E75"/>
    <w:rsid w:val="008C6F99"/>
    <w:rsid w:val="008C7325"/>
    <w:rsid w:val="008D014E"/>
    <w:rsid w:val="008D03A2"/>
    <w:rsid w:val="008D1000"/>
    <w:rsid w:val="008D1578"/>
    <w:rsid w:val="008D1B99"/>
    <w:rsid w:val="008D1D83"/>
    <w:rsid w:val="008D2846"/>
    <w:rsid w:val="008D2DDC"/>
    <w:rsid w:val="008D33E3"/>
    <w:rsid w:val="008D394D"/>
    <w:rsid w:val="008D3C0A"/>
    <w:rsid w:val="008D3DC1"/>
    <w:rsid w:val="008D3E3F"/>
    <w:rsid w:val="008D4236"/>
    <w:rsid w:val="008D4351"/>
    <w:rsid w:val="008D462F"/>
    <w:rsid w:val="008D4AD7"/>
    <w:rsid w:val="008D4F51"/>
    <w:rsid w:val="008D5C45"/>
    <w:rsid w:val="008D6BD5"/>
    <w:rsid w:val="008D6DCF"/>
    <w:rsid w:val="008D7193"/>
    <w:rsid w:val="008D74DC"/>
    <w:rsid w:val="008E01DA"/>
    <w:rsid w:val="008E0204"/>
    <w:rsid w:val="008E0ABC"/>
    <w:rsid w:val="008E2A2D"/>
    <w:rsid w:val="008E4376"/>
    <w:rsid w:val="008E452C"/>
    <w:rsid w:val="008E4F84"/>
    <w:rsid w:val="008E533E"/>
    <w:rsid w:val="008E5C07"/>
    <w:rsid w:val="008E7A0A"/>
    <w:rsid w:val="008E7B49"/>
    <w:rsid w:val="008E7F41"/>
    <w:rsid w:val="008F01FF"/>
    <w:rsid w:val="008F0E93"/>
    <w:rsid w:val="008F1C59"/>
    <w:rsid w:val="008F21FE"/>
    <w:rsid w:val="008F22D0"/>
    <w:rsid w:val="008F2662"/>
    <w:rsid w:val="008F2ABC"/>
    <w:rsid w:val="008F30BD"/>
    <w:rsid w:val="008F31B1"/>
    <w:rsid w:val="008F3581"/>
    <w:rsid w:val="008F38FD"/>
    <w:rsid w:val="008F3D80"/>
    <w:rsid w:val="008F44B1"/>
    <w:rsid w:val="008F4645"/>
    <w:rsid w:val="008F531B"/>
    <w:rsid w:val="008F54D3"/>
    <w:rsid w:val="008F586D"/>
    <w:rsid w:val="008F59F6"/>
    <w:rsid w:val="008F5DB4"/>
    <w:rsid w:val="008F6769"/>
    <w:rsid w:val="008F6E67"/>
    <w:rsid w:val="008F7796"/>
    <w:rsid w:val="009002CD"/>
    <w:rsid w:val="00900719"/>
    <w:rsid w:val="009010E3"/>
    <w:rsid w:val="009017AC"/>
    <w:rsid w:val="00901F9B"/>
    <w:rsid w:val="00902192"/>
    <w:rsid w:val="0090254C"/>
    <w:rsid w:val="00902A9A"/>
    <w:rsid w:val="00902D50"/>
    <w:rsid w:val="00902E98"/>
    <w:rsid w:val="0090498D"/>
    <w:rsid w:val="00904A1C"/>
    <w:rsid w:val="00904B7D"/>
    <w:rsid w:val="00905030"/>
    <w:rsid w:val="00905782"/>
    <w:rsid w:val="00906468"/>
    <w:rsid w:val="00906490"/>
    <w:rsid w:val="00906855"/>
    <w:rsid w:val="009105E4"/>
    <w:rsid w:val="009106FC"/>
    <w:rsid w:val="009111B2"/>
    <w:rsid w:val="009115EF"/>
    <w:rsid w:val="00911A2C"/>
    <w:rsid w:val="00912C05"/>
    <w:rsid w:val="00913D58"/>
    <w:rsid w:val="00914336"/>
    <w:rsid w:val="009143FE"/>
    <w:rsid w:val="00914E41"/>
    <w:rsid w:val="009151F5"/>
    <w:rsid w:val="00915EA5"/>
    <w:rsid w:val="00916667"/>
    <w:rsid w:val="00916EF6"/>
    <w:rsid w:val="009173F4"/>
    <w:rsid w:val="009203D9"/>
    <w:rsid w:val="00920769"/>
    <w:rsid w:val="009211FD"/>
    <w:rsid w:val="009213AB"/>
    <w:rsid w:val="00921FF4"/>
    <w:rsid w:val="009225A3"/>
    <w:rsid w:val="00923D7B"/>
    <w:rsid w:val="00924AE1"/>
    <w:rsid w:val="00924B57"/>
    <w:rsid w:val="009254EF"/>
    <w:rsid w:val="009257ED"/>
    <w:rsid w:val="009257EF"/>
    <w:rsid w:val="00925855"/>
    <w:rsid w:val="00925899"/>
    <w:rsid w:val="00925A1B"/>
    <w:rsid w:val="00925B68"/>
    <w:rsid w:val="00925C7F"/>
    <w:rsid w:val="009269B1"/>
    <w:rsid w:val="00926D99"/>
    <w:rsid w:val="0092724D"/>
    <w:rsid w:val="009272B3"/>
    <w:rsid w:val="00927EB6"/>
    <w:rsid w:val="00930D63"/>
    <w:rsid w:val="0093131A"/>
    <w:rsid w:val="009315BE"/>
    <w:rsid w:val="009326DD"/>
    <w:rsid w:val="0093338F"/>
    <w:rsid w:val="00933DAB"/>
    <w:rsid w:val="00934857"/>
    <w:rsid w:val="00934865"/>
    <w:rsid w:val="00934FF9"/>
    <w:rsid w:val="009358A7"/>
    <w:rsid w:val="009360BD"/>
    <w:rsid w:val="00937659"/>
    <w:rsid w:val="00937BD9"/>
    <w:rsid w:val="00941426"/>
    <w:rsid w:val="009415DF"/>
    <w:rsid w:val="009415E7"/>
    <w:rsid w:val="009417B0"/>
    <w:rsid w:val="00942875"/>
    <w:rsid w:val="0094307D"/>
    <w:rsid w:val="009433E6"/>
    <w:rsid w:val="00943987"/>
    <w:rsid w:val="00943CF7"/>
    <w:rsid w:val="00944429"/>
    <w:rsid w:val="009465E2"/>
    <w:rsid w:val="00946FC5"/>
    <w:rsid w:val="009473BB"/>
    <w:rsid w:val="0094751A"/>
    <w:rsid w:val="009500A9"/>
    <w:rsid w:val="009500D2"/>
    <w:rsid w:val="00950690"/>
    <w:rsid w:val="00950E2C"/>
    <w:rsid w:val="009515D9"/>
    <w:rsid w:val="00951D50"/>
    <w:rsid w:val="009525EB"/>
    <w:rsid w:val="0095340B"/>
    <w:rsid w:val="0095381F"/>
    <w:rsid w:val="0095470B"/>
    <w:rsid w:val="00954874"/>
    <w:rsid w:val="00954D01"/>
    <w:rsid w:val="00954F34"/>
    <w:rsid w:val="0095615A"/>
    <w:rsid w:val="00956C4D"/>
    <w:rsid w:val="0096084F"/>
    <w:rsid w:val="00960F2C"/>
    <w:rsid w:val="00961400"/>
    <w:rsid w:val="0096172C"/>
    <w:rsid w:val="00961A29"/>
    <w:rsid w:val="00962203"/>
    <w:rsid w:val="009626AF"/>
    <w:rsid w:val="00962DEA"/>
    <w:rsid w:val="00963646"/>
    <w:rsid w:val="0096441C"/>
    <w:rsid w:val="009645C0"/>
    <w:rsid w:val="00965063"/>
    <w:rsid w:val="009660FE"/>
    <w:rsid w:val="0096632D"/>
    <w:rsid w:val="009666A0"/>
    <w:rsid w:val="00966B79"/>
    <w:rsid w:val="00967124"/>
    <w:rsid w:val="00967335"/>
    <w:rsid w:val="00967B74"/>
    <w:rsid w:val="00971190"/>
    <w:rsid w:val="0097166C"/>
    <w:rsid w:val="009718C7"/>
    <w:rsid w:val="00973721"/>
    <w:rsid w:val="00973827"/>
    <w:rsid w:val="00973A68"/>
    <w:rsid w:val="00973DD0"/>
    <w:rsid w:val="00974BD9"/>
    <w:rsid w:val="0097559F"/>
    <w:rsid w:val="009757D5"/>
    <w:rsid w:val="009758A6"/>
    <w:rsid w:val="009761EA"/>
    <w:rsid w:val="009770C1"/>
    <w:rsid w:val="0097761E"/>
    <w:rsid w:val="0097771B"/>
    <w:rsid w:val="00980832"/>
    <w:rsid w:val="00980B4E"/>
    <w:rsid w:val="009816D9"/>
    <w:rsid w:val="00982454"/>
    <w:rsid w:val="00982ACA"/>
    <w:rsid w:val="00982CF0"/>
    <w:rsid w:val="00983199"/>
    <w:rsid w:val="009835DF"/>
    <w:rsid w:val="00983F00"/>
    <w:rsid w:val="00984196"/>
    <w:rsid w:val="00984505"/>
    <w:rsid w:val="00984C59"/>
    <w:rsid w:val="009853E1"/>
    <w:rsid w:val="0098685F"/>
    <w:rsid w:val="00986E6B"/>
    <w:rsid w:val="009879A3"/>
    <w:rsid w:val="00990032"/>
    <w:rsid w:val="00990527"/>
    <w:rsid w:val="00990B19"/>
    <w:rsid w:val="00990E9A"/>
    <w:rsid w:val="00991218"/>
    <w:rsid w:val="0099153B"/>
    <w:rsid w:val="00991584"/>
    <w:rsid w:val="00991725"/>
    <w:rsid w:val="00991769"/>
    <w:rsid w:val="0099232C"/>
    <w:rsid w:val="00993593"/>
    <w:rsid w:val="00993CEF"/>
    <w:rsid w:val="00994386"/>
    <w:rsid w:val="00994791"/>
    <w:rsid w:val="00994C74"/>
    <w:rsid w:val="00994E8B"/>
    <w:rsid w:val="00995283"/>
    <w:rsid w:val="0099648D"/>
    <w:rsid w:val="009965FB"/>
    <w:rsid w:val="0099676F"/>
    <w:rsid w:val="00996F6C"/>
    <w:rsid w:val="009974EB"/>
    <w:rsid w:val="009A05D9"/>
    <w:rsid w:val="009A0811"/>
    <w:rsid w:val="009A116B"/>
    <w:rsid w:val="009A13D8"/>
    <w:rsid w:val="009A1C1E"/>
    <w:rsid w:val="009A2045"/>
    <w:rsid w:val="009A2626"/>
    <w:rsid w:val="009A279E"/>
    <w:rsid w:val="009A2AC9"/>
    <w:rsid w:val="009A3015"/>
    <w:rsid w:val="009A3490"/>
    <w:rsid w:val="009A351E"/>
    <w:rsid w:val="009A6198"/>
    <w:rsid w:val="009A61FD"/>
    <w:rsid w:val="009A73C0"/>
    <w:rsid w:val="009A75E8"/>
    <w:rsid w:val="009B0A6F"/>
    <w:rsid w:val="009B0A94"/>
    <w:rsid w:val="009B0C62"/>
    <w:rsid w:val="009B0DE1"/>
    <w:rsid w:val="009B1273"/>
    <w:rsid w:val="009B1DF0"/>
    <w:rsid w:val="009B2398"/>
    <w:rsid w:val="009B269D"/>
    <w:rsid w:val="009B2AE8"/>
    <w:rsid w:val="009B3A9E"/>
    <w:rsid w:val="009B3C6E"/>
    <w:rsid w:val="009B3FCE"/>
    <w:rsid w:val="009B5622"/>
    <w:rsid w:val="009B59E9"/>
    <w:rsid w:val="009B5B12"/>
    <w:rsid w:val="009B62BB"/>
    <w:rsid w:val="009B63A1"/>
    <w:rsid w:val="009B6535"/>
    <w:rsid w:val="009B65E0"/>
    <w:rsid w:val="009B70AA"/>
    <w:rsid w:val="009B7709"/>
    <w:rsid w:val="009B7E45"/>
    <w:rsid w:val="009C0393"/>
    <w:rsid w:val="009C0904"/>
    <w:rsid w:val="009C1A3D"/>
    <w:rsid w:val="009C1CB1"/>
    <w:rsid w:val="009C217D"/>
    <w:rsid w:val="009C245E"/>
    <w:rsid w:val="009C2719"/>
    <w:rsid w:val="009C3CB4"/>
    <w:rsid w:val="009C53F6"/>
    <w:rsid w:val="009C5563"/>
    <w:rsid w:val="009C5CE1"/>
    <w:rsid w:val="009C5E77"/>
    <w:rsid w:val="009C5F67"/>
    <w:rsid w:val="009C5F9B"/>
    <w:rsid w:val="009C6340"/>
    <w:rsid w:val="009C78F4"/>
    <w:rsid w:val="009C7A7E"/>
    <w:rsid w:val="009C7B39"/>
    <w:rsid w:val="009D016A"/>
    <w:rsid w:val="009D02E8"/>
    <w:rsid w:val="009D0711"/>
    <w:rsid w:val="009D2236"/>
    <w:rsid w:val="009D4236"/>
    <w:rsid w:val="009D429C"/>
    <w:rsid w:val="009D4B8E"/>
    <w:rsid w:val="009D51D0"/>
    <w:rsid w:val="009D6E7B"/>
    <w:rsid w:val="009D70A4"/>
    <w:rsid w:val="009D7A52"/>
    <w:rsid w:val="009D7B14"/>
    <w:rsid w:val="009D7D61"/>
    <w:rsid w:val="009D7E0C"/>
    <w:rsid w:val="009E08D1"/>
    <w:rsid w:val="009E0D96"/>
    <w:rsid w:val="009E191F"/>
    <w:rsid w:val="009E1A3B"/>
    <w:rsid w:val="009E1B95"/>
    <w:rsid w:val="009E25AB"/>
    <w:rsid w:val="009E3616"/>
    <w:rsid w:val="009E382D"/>
    <w:rsid w:val="009E3D13"/>
    <w:rsid w:val="009E496F"/>
    <w:rsid w:val="009E499E"/>
    <w:rsid w:val="009E4B0D"/>
    <w:rsid w:val="009E5250"/>
    <w:rsid w:val="009E56B3"/>
    <w:rsid w:val="009E601B"/>
    <w:rsid w:val="009E6C8A"/>
    <w:rsid w:val="009E7A69"/>
    <w:rsid w:val="009E7C40"/>
    <w:rsid w:val="009E7F91"/>
    <w:rsid w:val="009E7F92"/>
    <w:rsid w:val="009F02A3"/>
    <w:rsid w:val="009F0746"/>
    <w:rsid w:val="009F0EC2"/>
    <w:rsid w:val="009F0F09"/>
    <w:rsid w:val="009F1013"/>
    <w:rsid w:val="009F2182"/>
    <w:rsid w:val="009F2A7A"/>
    <w:rsid w:val="009F2F27"/>
    <w:rsid w:val="009F34AA"/>
    <w:rsid w:val="009F4351"/>
    <w:rsid w:val="009F4823"/>
    <w:rsid w:val="009F68DA"/>
    <w:rsid w:val="009F6BCB"/>
    <w:rsid w:val="009F7AB4"/>
    <w:rsid w:val="009F7B78"/>
    <w:rsid w:val="009F7CDF"/>
    <w:rsid w:val="00A0057A"/>
    <w:rsid w:val="00A01455"/>
    <w:rsid w:val="00A0233C"/>
    <w:rsid w:val="00A026B1"/>
    <w:rsid w:val="00A02FA1"/>
    <w:rsid w:val="00A033E3"/>
    <w:rsid w:val="00A04369"/>
    <w:rsid w:val="00A0450C"/>
    <w:rsid w:val="00A04C14"/>
    <w:rsid w:val="00A04CCE"/>
    <w:rsid w:val="00A04EEE"/>
    <w:rsid w:val="00A07299"/>
    <w:rsid w:val="00A07421"/>
    <w:rsid w:val="00A0776B"/>
    <w:rsid w:val="00A10FB9"/>
    <w:rsid w:val="00A11421"/>
    <w:rsid w:val="00A11FD8"/>
    <w:rsid w:val="00A121BB"/>
    <w:rsid w:val="00A1268F"/>
    <w:rsid w:val="00A12EA0"/>
    <w:rsid w:val="00A13004"/>
    <w:rsid w:val="00A13448"/>
    <w:rsid w:val="00A1389F"/>
    <w:rsid w:val="00A14996"/>
    <w:rsid w:val="00A149BA"/>
    <w:rsid w:val="00A157B1"/>
    <w:rsid w:val="00A1720E"/>
    <w:rsid w:val="00A17434"/>
    <w:rsid w:val="00A176F3"/>
    <w:rsid w:val="00A17706"/>
    <w:rsid w:val="00A17EB7"/>
    <w:rsid w:val="00A209B5"/>
    <w:rsid w:val="00A20A06"/>
    <w:rsid w:val="00A20AAC"/>
    <w:rsid w:val="00A211C8"/>
    <w:rsid w:val="00A21EAF"/>
    <w:rsid w:val="00A22229"/>
    <w:rsid w:val="00A2278C"/>
    <w:rsid w:val="00A233A5"/>
    <w:rsid w:val="00A23557"/>
    <w:rsid w:val="00A235F4"/>
    <w:rsid w:val="00A23C33"/>
    <w:rsid w:val="00A24374"/>
    <w:rsid w:val="00A24442"/>
    <w:rsid w:val="00A24888"/>
    <w:rsid w:val="00A24A14"/>
    <w:rsid w:val="00A24ADA"/>
    <w:rsid w:val="00A252B9"/>
    <w:rsid w:val="00A25878"/>
    <w:rsid w:val="00A26FBB"/>
    <w:rsid w:val="00A309EA"/>
    <w:rsid w:val="00A31B0C"/>
    <w:rsid w:val="00A3227B"/>
    <w:rsid w:val="00A32577"/>
    <w:rsid w:val="00A325B8"/>
    <w:rsid w:val="00A330BB"/>
    <w:rsid w:val="00A33BEF"/>
    <w:rsid w:val="00A341C8"/>
    <w:rsid w:val="00A34ACD"/>
    <w:rsid w:val="00A34C97"/>
    <w:rsid w:val="00A362A9"/>
    <w:rsid w:val="00A37A86"/>
    <w:rsid w:val="00A37C52"/>
    <w:rsid w:val="00A40942"/>
    <w:rsid w:val="00A40A1E"/>
    <w:rsid w:val="00A41006"/>
    <w:rsid w:val="00A41227"/>
    <w:rsid w:val="00A4210C"/>
    <w:rsid w:val="00A42337"/>
    <w:rsid w:val="00A425AB"/>
    <w:rsid w:val="00A42B18"/>
    <w:rsid w:val="00A42CFE"/>
    <w:rsid w:val="00A435BA"/>
    <w:rsid w:val="00A44250"/>
    <w:rsid w:val="00A446F5"/>
    <w:rsid w:val="00A44882"/>
    <w:rsid w:val="00A45125"/>
    <w:rsid w:val="00A45DB5"/>
    <w:rsid w:val="00A45FF5"/>
    <w:rsid w:val="00A4658C"/>
    <w:rsid w:val="00A46A2C"/>
    <w:rsid w:val="00A47244"/>
    <w:rsid w:val="00A47B3E"/>
    <w:rsid w:val="00A47B91"/>
    <w:rsid w:val="00A505B2"/>
    <w:rsid w:val="00A511CF"/>
    <w:rsid w:val="00A51235"/>
    <w:rsid w:val="00A513A9"/>
    <w:rsid w:val="00A519FE"/>
    <w:rsid w:val="00A52322"/>
    <w:rsid w:val="00A52A22"/>
    <w:rsid w:val="00A52AA0"/>
    <w:rsid w:val="00A52AA2"/>
    <w:rsid w:val="00A534FB"/>
    <w:rsid w:val="00A54621"/>
    <w:rsid w:val="00A54715"/>
    <w:rsid w:val="00A55583"/>
    <w:rsid w:val="00A556D0"/>
    <w:rsid w:val="00A560A3"/>
    <w:rsid w:val="00A5661C"/>
    <w:rsid w:val="00A56B15"/>
    <w:rsid w:val="00A57700"/>
    <w:rsid w:val="00A6061C"/>
    <w:rsid w:val="00A607A6"/>
    <w:rsid w:val="00A6180F"/>
    <w:rsid w:val="00A62CAB"/>
    <w:rsid w:val="00A62D44"/>
    <w:rsid w:val="00A6340D"/>
    <w:rsid w:val="00A6388F"/>
    <w:rsid w:val="00A63DF1"/>
    <w:rsid w:val="00A6444A"/>
    <w:rsid w:val="00A64897"/>
    <w:rsid w:val="00A64D0B"/>
    <w:rsid w:val="00A6583B"/>
    <w:rsid w:val="00A66012"/>
    <w:rsid w:val="00A6684F"/>
    <w:rsid w:val="00A671C0"/>
    <w:rsid w:val="00A67263"/>
    <w:rsid w:val="00A708BA"/>
    <w:rsid w:val="00A70AA3"/>
    <w:rsid w:val="00A71211"/>
    <w:rsid w:val="00A7161C"/>
    <w:rsid w:val="00A71BE1"/>
    <w:rsid w:val="00A71CE4"/>
    <w:rsid w:val="00A732C3"/>
    <w:rsid w:val="00A73628"/>
    <w:rsid w:val="00A7380F"/>
    <w:rsid w:val="00A74AFC"/>
    <w:rsid w:val="00A753C3"/>
    <w:rsid w:val="00A76655"/>
    <w:rsid w:val="00A76A3C"/>
    <w:rsid w:val="00A773FB"/>
    <w:rsid w:val="00A774E1"/>
    <w:rsid w:val="00A77686"/>
    <w:rsid w:val="00A77AA3"/>
    <w:rsid w:val="00A8004E"/>
    <w:rsid w:val="00A80329"/>
    <w:rsid w:val="00A80FF5"/>
    <w:rsid w:val="00A8236D"/>
    <w:rsid w:val="00A8282A"/>
    <w:rsid w:val="00A828FD"/>
    <w:rsid w:val="00A82E81"/>
    <w:rsid w:val="00A83299"/>
    <w:rsid w:val="00A848A7"/>
    <w:rsid w:val="00A849BD"/>
    <w:rsid w:val="00A854EB"/>
    <w:rsid w:val="00A85A90"/>
    <w:rsid w:val="00A85C20"/>
    <w:rsid w:val="00A85CE7"/>
    <w:rsid w:val="00A86445"/>
    <w:rsid w:val="00A86959"/>
    <w:rsid w:val="00A872E5"/>
    <w:rsid w:val="00A87AD9"/>
    <w:rsid w:val="00A9017D"/>
    <w:rsid w:val="00A90E93"/>
    <w:rsid w:val="00A9123F"/>
    <w:rsid w:val="00A912DE"/>
    <w:rsid w:val="00A91320"/>
    <w:rsid w:val="00A91406"/>
    <w:rsid w:val="00A924D1"/>
    <w:rsid w:val="00A924D5"/>
    <w:rsid w:val="00A9321B"/>
    <w:rsid w:val="00A93B70"/>
    <w:rsid w:val="00A93EF5"/>
    <w:rsid w:val="00A93F19"/>
    <w:rsid w:val="00A9459B"/>
    <w:rsid w:val="00A95B54"/>
    <w:rsid w:val="00A95EB7"/>
    <w:rsid w:val="00A96E65"/>
    <w:rsid w:val="00A96ECE"/>
    <w:rsid w:val="00A97575"/>
    <w:rsid w:val="00A97B8A"/>
    <w:rsid w:val="00A97C72"/>
    <w:rsid w:val="00A97C8C"/>
    <w:rsid w:val="00AA02C4"/>
    <w:rsid w:val="00AA0AA0"/>
    <w:rsid w:val="00AA1C54"/>
    <w:rsid w:val="00AA1C90"/>
    <w:rsid w:val="00AA2718"/>
    <w:rsid w:val="00AA3102"/>
    <w:rsid w:val="00AA310B"/>
    <w:rsid w:val="00AA3667"/>
    <w:rsid w:val="00AA43F5"/>
    <w:rsid w:val="00AA4B8E"/>
    <w:rsid w:val="00AA4C50"/>
    <w:rsid w:val="00AA4F82"/>
    <w:rsid w:val="00AA5187"/>
    <w:rsid w:val="00AA5E13"/>
    <w:rsid w:val="00AA6218"/>
    <w:rsid w:val="00AA63D4"/>
    <w:rsid w:val="00AA681D"/>
    <w:rsid w:val="00AA687D"/>
    <w:rsid w:val="00AA6FE2"/>
    <w:rsid w:val="00AA7184"/>
    <w:rsid w:val="00AA7721"/>
    <w:rsid w:val="00AA7C1E"/>
    <w:rsid w:val="00AB06E8"/>
    <w:rsid w:val="00AB1371"/>
    <w:rsid w:val="00AB1522"/>
    <w:rsid w:val="00AB1A4F"/>
    <w:rsid w:val="00AB1CD3"/>
    <w:rsid w:val="00AB1D61"/>
    <w:rsid w:val="00AB2937"/>
    <w:rsid w:val="00AB303E"/>
    <w:rsid w:val="00AB352F"/>
    <w:rsid w:val="00AB36C1"/>
    <w:rsid w:val="00AB3B2D"/>
    <w:rsid w:val="00AB4DB6"/>
    <w:rsid w:val="00AB5D29"/>
    <w:rsid w:val="00AB5E1B"/>
    <w:rsid w:val="00AB625C"/>
    <w:rsid w:val="00AB7AF4"/>
    <w:rsid w:val="00AC012D"/>
    <w:rsid w:val="00AC22EC"/>
    <w:rsid w:val="00AC274B"/>
    <w:rsid w:val="00AC29E6"/>
    <w:rsid w:val="00AC2E67"/>
    <w:rsid w:val="00AC4764"/>
    <w:rsid w:val="00AC4C45"/>
    <w:rsid w:val="00AC4DAA"/>
    <w:rsid w:val="00AC5D87"/>
    <w:rsid w:val="00AC6238"/>
    <w:rsid w:val="00AC6686"/>
    <w:rsid w:val="00AC6D36"/>
    <w:rsid w:val="00AC721A"/>
    <w:rsid w:val="00AC7E1C"/>
    <w:rsid w:val="00AD00F9"/>
    <w:rsid w:val="00AD0262"/>
    <w:rsid w:val="00AD050A"/>
    <w:rsid w:val="00AD0638"/>
    <w:rsid w:val="00AD0CBA"/>
    <w:rsid w:val="00AD0FD5"/>
    <w:rsid w:val="00AD1A68"/>
    <w:rsid w:val="00AD2553"/>
    <w:rsid w:val="00AD26E2"/>
    <w:rsid w:val="00AD3850"/>
    <w:rsid w:val="00AD39DC"/>
    <w:rsid w:val="00AD3A8D"/>
    <w:rsid w:val="00AD447C"/>
    <w:rsid w:val="00AD4900"/>
    <w:rsid w:val="00AD564E"/>
    <w:rsid w:val="00AD58A2"/>
    <w:rsid w:val="00AD6B1B"/>
    <w:rsid w:val="00AD784C"/>
    <w:rsid w:val="00AE06DC"/>
    <w:rsid w:val="00AE083B"/>
    <w:rsid w:val="00AE10A6"/>
    <w:rsid w:val="00AE121C"/>
    <w:rsid w:val="00AE126A"/>
    <w:rsid w:val="00AE1BAE"/>
    <w:rsid w:val="00AE2F49"/>
    <w:rsid w:val="00AE3005"/>
    <w:rsid w:val="00AE3678"/>
    <w:rsid w:val="00AE3684"/>
    <w:rsid w:val="00AE371B"/>
    <w:rsid w:val="00AE3BD5"/>
    <w:rsid w:val="00AE4BE5"/>
    <w:rsid w:val="00AE59A0"/>
    <w:rsid w:val="00AE7145"/>
    <w:rsid w:val="00AE7157"/>
    <w:rsid w:val="00AF0C57"/>
    <w:rsid w:val="00AF26F3"/>
    <w:rsid w:val="00AF29E8"/>
    <w:rsid w:val="00AF2C41"/>
    <w:rsid w:val="00AF3299"/>
    <w:rsid w:val="00AF36C0"/>
    <w:rsid w:val="00AF4EB1"/>
    <w:rsid w:val="00AF5427"/>
    <w:rsid w:val="00AF5D28"/>
    <w:rsid w:val="00AF5F04"/>
    <w:rsid w:val="00AF62CF"/>
    <w:rsid w:val="00AF74F1"/>
    <w:rsid w:val="00AF78B2"/>
    <w:rsid w:val="00B0021C"/>
    <w:rsid w:val="00B0031F"/>
    <w:rsid w:val="00B00672"/>
    <w:rsid w:val="00B00949"/>
    <w:rsid w:val="00B00C0D"/>
    <w:rsid w:val="00B01731"/>
    <w:rsid w:val="00B0182D"/>
    <w:rsid w:val="00B01B4D"/>
    <w:rsid w:val="00B02B13"/>
    <w:rsid w:val="00B035DD"/>
    <w:rsid w:val="00B03FE2"/>
    <w:rsid w:val="00B0440C"/>
    <w:rsid w:val="00B04489"/>
    <w:rsid w:val="00B05302"/>
    <w:rsid w:val="00B055F3"/>
    <w:rsid w:val="00B06571"/>
    <w:rsid w:val="00B068BA"/>
    <w:rsid w:val="00B07217"/>
    <w:rsid w:val="00B074FE"/>
    <w:rsid w:val="00B07BAF"/>
    <w:rsid w:val="00B125E5"/>
    <w:rsid w:val="00B1303C"/>
    <w:rsid w:val="00B131C0"/>
    <w:rsid w:val="00B1341B"/>
    <w:rsid w:val="00B1381B"/>
    <w:rsid w:val="00B13851"/>
    <w:rsid w:val="00B13B1C"/>
    <w:rsid w:val="00B14305"/>
    <w:rsid w:val="00B148B4"/>
    <w:rsid w:val="00B14A29"/>
    <w:rsid w:val="00B14B5F"/>
    <w:rsid w:val="00B15057"/>
    <w:rsid w:val="00B15D5C"/>
    <w:rsid w:val="00B15E15"/>
    <w:rsid w:val="00B162CD"/>
    <w:rsid w:val="00B163C9"/>
    <w:rsid w:val="00B16827"/>
    <w:rsid w:val="00B20057"/>
    <w:rsid w:val="00B20066"/>
    <w:rsid w:val="00B2132C"/>
    <w:rsid w:val="00B21F90"/>
    <w:rsid w:val="00B22291"/>
    <w:rsid w:val="00B224BC"/>
    <w:rsid w:val="00B22B3E"/>
    <w:rsid w:val="00B22EE9"/>
    <w:rsid w:val="00B22F1D"/>
    <w:rsid w:val="00B23F9A"/>
    <w:rsid w:val="00B2417B"/>
    <w:rsid w:val="00B248F8"/>
    <w:rsid w:val="00B24E6F"/>
    <w:rsid w:val="00B254BB"/>
    <w:rsid w:val="00B25578"/>
    <w:rsid w:val="00B261D8"/>
    <w:rsid w:val="00B26CB5"/>
    <w:rsid w:val="00B2752E"/>
    <w:rsid w:val="00B3007A"/>
    <w:rsid w:val="00B307B9"/>
    <w:rsid w:val="00B307CC"/>
    <w:rsid w:val="00B31E62"/>
    <w:rsid w:val="00B326B7"/>
    <w:rsid w:val="00B32B3B"/>
    <w:rsid w:val="00B32BEC"/>
    <w:rsid w:val="00B3443A"/>
    <w:rsid w:val="00B3588E"/>
    <w:rsid w:val="00B358B0"/>
    <w:rsid w:val="00B36793"/>
    <w:rsid w:val="00B37225"/>
    <w:rsid w:val="00B372EA"/>
    <w:rsid w:val="00B373EA"/>
    <w:rsid w:val="00B37795"/>
    <w:rsid w:val="00B37B8C"/>
    <w:rsid w:val="00B37C45"/>
    <w:rsid w:val="00B37E35"/>
    <w:rsid w:val="00B401C7"/>
    <w:rsid w:val="00B40C27"/>
    <w:rsid w:val="00B40DC0"/>
    <w:rsid w:val="00B41672"/>
    <w:rsid w:val="00B41688"/>
    <w:rsid w:val="00B4173C"/>
    <w:rsid w:val="00B4198F"/>
    <w:rsid w:val="00B41F3D"/>
    <w:rsid w:val="00B421BF"/>
    <w:rsid w:val="00B423C7"/>
    <w:rsid w:val="00B43025"/>
    <w:rsid w:val="00B431E8"/>
    <w:rsid w:val="00B434A4"/>
    <w:rsid w:val="00B44F18"/>
    <w:rsid w:val="00B45141"/>
    <w:rsid w:val="00B459AF"/>
    <w:rsid w:val="00B46946"/>
    <w:rsid w:val="00B47881"/>
    <w:rsid w:val="00B4789E"/>
    <w:rsid w:val="00B47AF2"/>
    <w:rsid w:val="00B47BA4"/>
    <w:rsid w:val="00B47FF4"/>
    <w:rsid w:val="00B50834"/>
    <w:rsid w:val="00B50C91"/>
    <w:rsid w:val="00B50D9F"/>
    <w:rsid w:val="00B51129"/>
    <w:rsid w:val="00B519CD"/>
    <w:rsid w:val="00B51E2E"/>
    <w:rsid w:val="00B522ED"/>
    <w:rsid w:val="00B52301"/>
    <w:rsid w:val="00B5273A"/>
    <w:rsid w:val="00B52AE8"/>
    <w:rsid w:val="00B53480"/>
    <w:rsid w:val="00B5365A"/>
    <w:rsid w:val="00B53D1B"/>
    <w:rsid w:val="00B55ADE"/>
    <w:rsid w:val="00B563EC"/>
    <w:rsid w:val="00B5710D"/>
    <w:rsid w:val="00B57329"/>
    <w:rsid w:val="00B57AA5"/>
    <w:rsid w:val="00B57CED"/>
    <w:rsid w:val="00B60707"/>
    <w:rsid w:val="00B60E61"/>
    <w:rsid w:val="00B612E6"/>
    <w:rsid w:val="00B61E58"/>
    <w:rsid w:val="00B61F61"/>
    <w:rsid w:val="00B62B50"/>
    <w:rsid w:val="00B62F4B"/>
    <w:rsid w:val="00B635B7"/>
    <w:rsid w:val="00B63AE8"/>
    <w:rsid w:val="00B63BF9"/>
    <w:rsid w:val="00B63D09"/>
    <w:rsid w:val="00B641EF"/>
    <w:rsid w:val="00B6524B"/>
    <w:rsid w:val="00B65661"/>
    <w:rsid w:val="00B65950"/>
    <w:rsid w:val="00B65C8F"/>
    <w:rsid w:val="00B65EAA"/>
    <w:rsid w:val="00B663F9"/>
    <w:rsid w:val="00B66633"/>
    <w:rsid w:val="00B66D83"/>
    <w:rsid w:val="00B672C0"/>
    <w:rsid w:val="00B676FD"/>
    <w:rsid w:val="00B678B6"/>
    <w:rsid w:val="00B70205"/>
    <w:rsid w:val="00B706E8"/>
    <w:rsid w:val="00B70A7F"/>
    <w:rsid w:val="00B71ECD"/>
    <w:rsid w:val="00B7203C"/>
    <w:rsid w:val="00B72117"/>
    <w:rsid w:val="00B72928"/>
    <w:rsid w:val="00B72BA3"/>
    <w:rsid w:val="00B73A15"/>
    <w:rsid w:val="00B74CCA"/>
    <w:rsid w:val="00B74EA1"/>
    <w:rsid w:val="00B75646"/>
    <w:rsid w:val="00B7625C"/>
    <w:rsid w:val="00B7629E"/>
    <w:rsid w:val="00B766BB"/>
    <w:rsid w:val="00B77747"/>
    <w:rsid w:val="00B77A08"/>
    <w:rsid w:val="00B800E4"/>
    <w:rsid w:val="00B801E8"/>
    <w:rsid w:val="00B805DC"/>
    <w:rsid w:val="00B8063B"/>
    <w:rsid w:val="00B819FC"/>
    <w:rsid w:val="00B81A08"/>
    <w:rsid w:val="00B81E2E"/>
    <w:rsid w:val="00B82B52"/>
    <w:rsid w:val="00B839AD"/>
    <w:rsid w:val="00B84373"/>
    <w:rsid w:val="00B84B9D"/>
    <w:rsid w:val="00B8605A"/>
    <w:rsid w:val="00B86183"/>
    <w:rsid w:val="00B8621C"/>
    <w:rsid w:val="00B863A7"/>
    <w:rsid w:val="00B87981"/>
    <w:rsid w:val="00B87B4D"/>
    <w:rsid w:val="00B87FF9"/>
    <w:rsid w:val="00B90729"/>
    <w:rsid w:val="00B907DA"/>
    <w:rsid w:val="00B908BA"/>
    <w:rsid w:val="00B910BD"/>
    <w:rsid w:val="00B916AD"/>
    <w:rsid w:val="00B91FFE"/>
    <w:rsid w:val="00B92CB7"/>
    <w:rsid w:val="00B932FA"/>
    <w:rsid w:val="00B93C0A"/>
    <w:rsid w:val="00B94C5E"/>
    <w:rsid w:val="00B94D17"/>
    <w:rsid w:val="00B950BC"/>
    <w:rsid w:val="00B9524B"/>
    <w:rsid w:val="00B956CD"/>
    <w:rsid w:val="00B95AB9"/>
    <w:rsid w:val="00B96942"/>
    <w:rsid w:val="00B9714C"/>
    <w:rsid w:val="00BA0601"/>
    <w:rsid w:val="00BA0B41"/>
    <w:rsid w:val="00BA0EED"/>
    <w:rsid w:val="00BA29AD"/>
    <w:rsid w:val="00BA2B75"/>
    <w:rsid w:val="00BA31A4"/>
    <w:rsid w:val="00BA33CF"/>
    <w:rsid w:val="00BA35E2"/>
    <w:rsid w:val="00BA3E05"/>
    <w:rsid w:val="00BA3F8D"/>
    <w:rsid w:val="00BA4874"/>
    <w:rsid w:val="00BA51EF"/>
    <w:rsid w:val="00BA576F"/>
    <w:rsid w:val="00BA625B"/>
    <w:rsid w:val="00BA67BF"/>
    <w:rsid w:val="00BA68BA"/>
    <w:rsid w:val="00BA7258"/>
    <w:rsid w:val="00BA7C3D"/>
    <w:rsid w:val="00BA7FCB"/>
    <w:rsid w:val="00BB050C"/>
    <w:rsid w:val="00BB0770"/>
    <w:rsid w:val="00BB08B4"/>
    <w:rsid w:val="00BB1172"/>
    <w:rsid w:val="00BB188F"/>
    <w:rsid w:val="00BB2159"/>
    <w:rsid w:val="00BB286F"/>
    <w:rsid w:val="00BB2D99"/>
    <w:rsid w:val="00BB3423"/>
    <w:rsid w:val="00BB3614"/>
    <w:rsid w:val="00BB6A80"/>
    <w:rsid w:val="00BB7A10"/>
    <w:rsid w:val="00BB7BF6"/>
    <w:rsid w:val="00BC086D"/>
    <w:rsid w:val="00BC1220"/>
    <w:rsid w:val="00BC3B46"/>
    <w:rsid w:val="00BC4031"/>
    <w:rsid w:val="00BC4C1A"/>
    <w:rsid w:val="00BC5C55"/>
    <w:rsid w:val="00BC5CB6"/>
    <w:rsid w:val="00BC60BE"/>
    <w:rsid w:val="00BC6967"/>
    <w:rsid w:val="00BC6D2D"/>
    <w:rsid w:val="00BC7468"/>
    <w:rsid w:val="00BC7D4F"/>
    <w:rsid w:val="00BC7ED7"/>
    <w:rsid w:val="00BD1BD5"/>
    <w:rsid w:val="00BD2850"/>
    <w:rsid w:val="00BD2C36"/>
    <w:rsid w:val="00BD2E7B"/>
    <w:rsid w:val="00BD4045"/>
    <w:rsid w:val="00BD4AA8"/>
    <w:rsid w:val="00BD5283"/>
    <w:rsid w:val="00BD5B9C"/>
    <w:rsid w:val="00BD6049"/>
    <w:rsid w:val="00BD6481"/>
    <w:rsid w:val="00BD7F94"/>
    <w:rsid w:val="00BE099E"/>
    <w:rsid w:val="00BE0B0D"/>
    <w:rsid w:val="00BE1237"/>
    <w:rsid w:val="00BE2594"/>
    <w:rsid w:val="00BE28D2"/>
    <w:rsid w:val="00BE3112"/>
    <w:rsid w:val="00BE3142"/>
    <w:rsid w:val="00BE3381"/>
    <w:rsid w:val="00BE35D4"/>
    <w:rsid w:val="00BE367C"/>
    <w:rsid w:val="00BE4793"/>
    <w:rsid w:val="00BE4A64"/>
    <w:rsid w:val="00BE4E79"/>
    <w:rsid w:val="00BE5663"/>
    <w:rsid w:val="00BE5B39"/>
    <w:rsid w:val="00BE5E43"/>
    <w:rsid w:val="00BE64C0"/>
    <w:rsid w:val="00BE6A00"/>
    <w:rsid w:val="00BE704A"/>
    <w:rsid w:val="00BE71AF"/>
    <w:rsid w:val="00BE75ED"/>
    <w:rsid w:val="00BE7AEA"/>
    <w:rsid w:val="00BE7F8C"/>
    <w:rsid w:val="00BF002D"/>
    <w:rsid w:val="00BF063E"/>
    <w:rsid w:val="00BF0FAE"/>
    <w:rsid w:val="00BF1ADB"/>
    <w:rsid w:val="00BF3630"/>
    <w:rsid w:val="00BF3E19"/>
    <w:rsid w:val="00BF4E32"/>
    <w:rsid w:val="00BF557D"/>
    <w:rsid w:val="00BF658D"/>
    <w:rsid w:val="00BF6DDB"/>
    <w:rsid w:val="00BF7F58"/>
    <w:rsid w:val="00C00D44"/>
    <w:rsid w:val="00C01381"/>
    <w:rsid w:val="00C01AB1"/>
    <w:rsid w:val="00C021DE"/>
    <w:rsid w:val="00C026A0"/>
    <w:rsid w:val="00C02D01"/>
    <w:rsid w:val="00C02E16"/>
    <w:rsid w:val="00C0316E"/>
    <w:rsid w:val="00C03781"/>
    <w:rsid w:val="00C03EA4"/>
    <w:rsid w:val="00C04F42"/>
    <w:rsid w:val="00C05272"/>
    <w:rsid w:val="00C05477"/>
    <w:rsid w:val="00C05983"/>
    <w:rsid w:val="00C05B9A"/>
    <w:rsid w:val="00C06137"/>
    <w:rsid w:val="00C06929"/>
    <w:rsid w:val="00C06A3F"/>
    <w:rsid w:val="00C06C0F"/>
    <w:rsid w:val="00C06DEF"/>
    <w:rsid w:val="00C07042"/>
    <w:rsid w:val="00C079B8"/>
    <w:rsid w:val="00C07EAF"/>
    <w:rsid w:val="00C10037"/>
    <w:rsid w:val="00C105B7"/>
    <w:rsid w:val="00C10B95"/>
    <w:rsid w:val="00C10FDF"/>
    <w:rsid w:val="00C115E1"/>
    <w:rsid w:val="00C11AFA"/>
    <w:rsid w:val="00C123EA"/>
    <w:rsid w:val="00C12A49"/>
    <w:rsid w:val="00C133EE"/>
    <w:rsid w:val="00C149D0"/>
    <w:rsid w:val="00C14ECA"/>
    <w:rsid w:val="00C157C6"/>
    <w:rsid w:val="00C15D95"/>
    <w:rsid w:val="00C16719"/>
    <w:rsid w:val="00C16861"/>
    <w:rsid w:val="00C17909"/>
    <w:rsid w:val="00C21ECF"/>
    <w:rsid w:val="00C22F56"/>
    <w:rsid w:val="00C2317A"/>
    <w:rsid w:val="00C231A0"/>
    <w:rsid w:val="00C234DF"/>
    <w:rsid w:val="00C23536"/>
    <w:rsid w:val="00C23839"/>
    <w:rsid w:val="00C23B67"/>
    <w:rsid w:val="00C23D27"/>
    <w:rsid w:val="00C24157"/>
    <w:rsid w:val="00C2445E"/>
    <w:rsid w:val="00C252A8"/>
    <w:rsid w:val="00C2545F"/>
    <w:rsid w:val="00C2554C"/>
    <w:rsid w:val="00C2581F"/>
    <w:rsid w:val="00C26588"/>
    <w:rsid w:val="00C27DE9"/>
    <w:rsid w:val="00C27E9E"/>
    <w:rsid w:val="00C3029C"/>
    <w:rsid w:val="00C30AFA"/>
    <w:rsid w:val="00C31521"/>
    <w:rsid w:val="00C32726"/>
    <w:rsid w:val="00C32989"/>
    <w:rsid w:val="00C33388"/>
    <w:rsid w:val="00C33A10"/>
    <w:rsid w:val="00C35484"/>
    <w:rsid w:val="00C35993"/>
    <w:rsid w:val="00C36CAE"/>
    <w:rsid w:val="00C372F5"/>
    <w:rsid w:val="00C3769E"/>
    <w:rsid w:val="00C400CC"/>
    <w:rsid w:val="00C406A3"/>
    <w:rsid w:val="00C4135E"/>
    <w:rsid w:val="00C4173A"/>
    <w:rsid w:val="00C41CDB"/>
    <w:rsid w:val="00C41E59"/>
    <w:rsid w:val="00C41E9D"/>
    <w:rsid w:val="00C4207E"/>
    <w:rsid w:val="00C42E4A"/>
    <w:rsid w:val="00C430AE"/>
    <w:rsid w:val="00C437B8"/>
    <w:rsid w:val="00C43889"/>
    <w:rsid w:val="00C45045"/>
    <w:rsid w:val="00C46F1D"/>
    <w:rsid w:val="00C47348"/>
    <w:rsid w:val="00C47BE7"/>
    <w:rsid w:val="00C50DED"/>
    <w:rsid w:val="00C51FBD"/>
    <w:rsid w:val="00C520EC"/>
    <w:rsid w:val="00C52217"/>
    <w:rsid w:val="00C53D85"/>
    <w:rsid w:val="00C53E81"/>
    <w:rsid w:val="00C54371"/>
    <w:rsid w:val="00C55F89"/>
    <w:rsid w:val="00C56E95"/>
    <w:rsid w:val="00C57AD3"/>
    <w:rsid w:val="00C602FF"/>
    <w:rsid w:val="00C603F9"/>
    <w:rsid w:val="00C60411"/>
    <w:rsid w:val="00C61174"/>
    <w:rsid w:val="00C6148F"/>
    <w:rsid w:val="00C6161B"/>
    <w:rsid w:val="00C62106"/>
    <w:rsid w:val="00C621B1"/>
    <w:rsid w:val="00C623A4"/>
    <w:rsid w:val="00C62F7A"/>
    <w:rsid w:val="00C63536"/>
    <w:rsid w:val="00C63B9C"/>
    <w:rsid w:val="00C64AB7"/>
    <w:rsid w:val="00C6682F"/>
    <w:rsid w:val="00C66ADE"/>
    <w:rsid w:val="00C6708B"/>
    <w:rsid w:val="00C67131"/>
    <w:rsid w:val="00C67BF4"/>
    <w:rsid w:val="00C711CD"/>
    <w:rsid w:val="00C71476"/>
    <w:rsid w:val="00C7275E"/>
    <w:rsid w:val="00C73002"/>
    <w:rsid w:val="00C731AF"/>
    <w:rsid w:val="00C7329E"/>
    <w:rsid w:val="00C74A4C"/>
    <w:rsid w:val="00C74C5D"/>
    <w:rsid w:val="00C75089"/>
    <w:rsid w:val="00C752D6"/>
    <w:rsid w:val="00C767B3"/>
    <w:rsid w:val="00C76E62"/>
    <w:rsid w:val="00C77419"/>
    <w:rsid w:val="00C80589"/>
    <w:rsid w:val="00C805D7"/>
    <w:rsid w:val="00C80E2D"/>
    <w:rsid w:val="00C81D75"/>
    <w:rsid w:val="00C82E40"/>
    <w:rsid w:val="00C83736"/>
    <w:rsid w:val="00C83D9C"/>
    <w:rsid w:val="00C85948"/>
    <w:rsid w:val="00C85DB6"/>
    <w:rsid w:val="00C85ED0"/>
    <w:rsid w:val="00C85F20"/>
    <w:rsid w:val="00C863C4"/>
    <w:rsid w:val="00C86FAF"/>
    <w:rsid w:val="00C87145"/>
    <w:rsid w:val="00C87586"/>
    <w:rsid w:val="00C87E7C"/>
    <w:rsid w:val="00C90407"/>
    <w:rsid w:val="00C90758"/>
    <w:rsid w:val="00C90DAB"/>
    <w:rsid w:val="00C920EA"/>
    <w:rsid w:val="00C92911"/>
    <w:rsid w:val="00C929B5"/>
    <w:rsid w:val="00C92A18"/>
    <w:rsid w:val="00C92B65"/>
    <w:rsid w:val="00C92FB5"/>
    <w:rsid w:val="00C93C3E"/>
    <w:rsid w:val="00C94F3F"/>
    <w:rsid w:val="00C95A99"/>
    <w:rsid w:val="00C9665C"/>
    <w:rsid w:val="00C971FA"/>
    <w:rsid w:val="00C9755D"/>
    <w:rsid w:val="00C978CB"/>
    <w:rsid w:val="00C97BDC"/>
    <w:rsid w:val="00CA085B"/>
    <w:rsid w:val="00CA12E3"/>
    <w:rsid w:val="00CA1476"/>
    <w:rsid w:val="00CA1704"/>
    <w:rsid w:val="00CA22E7"/>
    <w:rsid w:val="00CA23DF"/>
    <w:rsid w:val="00CA246E"/>
    <w:rsid w:val="00CA26DD"/>
    <w:rsid w:val="00CA3128"/>
    <w:rsid w:val="00CA3807"/>
    <w:rsid w:val="00CA38CB"/>
    <w:rsid w:val="00CA3B0E"/>
    <w:rsid w:val="00CA4E5B"/>
    <w:rsid w:val="00CA565C"/>
    <w:rsid w:val="00CA6611"/>
    <w:rsid w:val="00CA69C8"/>
    <w:rsid w:val="00CA6AE6"/>
    <w:rsid w:val="00CA6D2D"/>
    <w:rsid w:val="00CA6E5C"/>
    <w:rsid w:val="00CA782F"/>
    <w:rsid w:val="00CA7D0D"/>
    <w:rsid w:val="00CB0110"/>
    <w:rsid w:val="00CB035E"/>
    <w:rsid w:val="00CB0718"/>
    <w:rsid w:val="00CB0937"/>
    <w:rsid w:val="00CB0D0E"/>
    <w:rsid w:val="00CB14BF"/>
    <w:rsid w:val="00CB187B"/>
    <w:rsid w:val="00CB199D"/>
    <w:rsid w:val="00CB1AC5"/>
    <w:rsid w:val="00CB1DF6"/>
    <w:rsid w:val="00CB229D"/>
    <w:rsid w:val="00CB2412"/>
    <w:rsid w:val="00CB2772"/>
    <w:rsid w:val="00CB2835"/>
    <w:rsid w:val="00CB3285"/>
    <w:rsid w:val="00CB3A78"/>
    <w:rsid w:val="00CB4500"/>
    <w:rsid w:val="00CB5428"/>
    <w:rsid w:val="00CB5F3B"/>
    <w:rsid w:val="00CB6F89"/>
    <w:rsid w:val="00CB713E"/>
    <w:rsid w:val="00CB7CE2"/>
    <w:rsid w:val="00CB7F2C"/>
    <w:rsid w:val="00CC0B86"/>
    <w:rsid w:val="00CC0C72"/>
    <w:rsid w:val="00CC102B"/>
    <w:rsid w:val="00CC1283"/>
    <w:rsid w:val="00CC218F"/>
    <w:rsid w:val="00CC2BFD"/>
    <w:rsid w:val="00CC2C67"/>
    <w:rsid w:val="00CC397E"/>
    <w:rsid w:val="00CC41AF"/>
    <w:rsid w:val="00CC45A7"/>
    <w:rsid w:val="00CC479D"/>
    <w:rsid w:val="00CC4EA7"/>
    <w:rsid w:val="00CC60C8"/>
    <w:rsid w:val="00CC6F40"/>
    <w:rsid w:val="00CC704A"/>
    <w:rsid w:val="00CC708E"/>
    <w:rsid w:val="00CC78FE"/>
    <w:rsid w:val="00CC7C73"/>
    <w:rsid w:val="00CD1A9A"/>
    <w:rsid w:val="00CD1BAA"/>
    <w:rsid w:val="00CD28A7"/>
    <w:rsid w:val="00CD3476"/>
    <w:rsid w:val="00CD3F18"/>
    <w:rsid w:val="00CD4FE3"/>
    <w:rsid w:val="00CD61C3"/>
    <w:rsid w:val="00CD6277"/>
    <w:rsid w:val="00CD6369"/>
    <w:rsid w:val="00CD64DF"/>
    <w:rsid w:val="00CD6D75"/>
    <w:rsid w:val="00CD6DE7"/>
    <w:rsid w:val="00CD6FD6"/>
    <w:rsid w:val="00CD72A4"/>
    <w:rsid w:val="00CD79BA"/>
    <w:rsid w:val="00CE029F"/>
    <w:rsid w:val="00CE0A86"/>
    <w:rsid w:val="00CE0F0C"/>
    <w:rsid w:val="00CE1727"/>
    <w:rsid w:val="00CE1925"/>
    <w:rsid w:val="00CE1F0E"/>
    <w:rsid w:val="00CE225F"/>
    <w:rsid w:val="00CE2BE6"/>
    <w:rsid w:val="00CE3BC2"/>
    <w:rsid w:val="00CE4A62"/>
    <w:rsid w:val="00CE4B2C"/>
    <w:rsid w:val="00CE58B2"/>
    <w:rsid w:val="00CE5C4B"/>
    <w:rsid w:val="00CE675D"/>
    <w:rsid w:val="00CE6859"/>
    <w:rsid w:val="00CE786F"/>
    <w:rsid w:val="00CE7BCD"/>
    <w:rsid w:val="00CE7E5F"/>
    <w:rsid w:val="00CF13A9"/>
    <w:rsid w:val="00CF253B"/>
    <w:rsid w:val="00CF2F50"/>
    <w:rsid w:val="00CF3A94"/>
    <w:rsid w:val="00CF4148"/>
    <w:rsid w:val="00CF4707"/>
    <w:rsid w:val="00CF6198"/>
    <w:rsid w:val="00CF6FDE"/>
    <w:rsid w:val="00CF73CE"/>
    <w:rsid w:val="00CF74B3"/>
    <w:rsid w:val="00D00EFD"/>
    <w:rsid w:val="00D00FD5"/>
    <w:rsid w:val="00D0109E"/>
    <w:rsid w:val="00D02919"/>
    <w:rsid w:val="00D03125"/>
    <w:rsid w:val="00D03D06"/>
    <w:rsid w:val="00D04A1D"/>
    <w:rsid w:val="00D04C61"/>
    <w:rsid w:val="00D0540D"/>
    <w:rsid w:val="00D05B8D"/>
    <w:rsid w:val="00D05B9B"/>
    <w:rsid w:val="00D065A2"/>
    <w:rsid w:val="00D079AA"/>
    <w:rsid w:val="00D07F00"/>
    <w:rsid w:val="00D104C1"/>
    <w:rsid w:val="00D104F9"/>
    <w:rsid w:val="00D1130F"/>
    <w:rsid w:val="00D12023"/>
    <w:rsid w:val="00D1354D"/>
    <w:rsid w:val="00D14218"/>
    <w:rsid w:val="00D1437E"/>
    <w:rsid w:val="00D1555E"/>
    <w:rsid w:val="00D155E9"/>
    <w:rsid w:val="00D161D2"/>
    <w:rsid w:val="00D16538"/>
    <w:rsid w:val="00D169A1"/>
    <w:rsid w:val="00D17019"/>
    <w:rsid w:val="00D17B72"/>
    <w:rsid w:val="00D20093"/>
    <w:rsid w:val="00D20A70"/>
    <w:rsid w:val="00D20EC0"/>
    <w:rsid w:val="00D2190C"/>
    <w:rsid w:val="00D21DB3"/>
    <w:rsid w:val="00D2200F"/>
    <w:rsid w:val="00D22186"/>
    <w:rsid w:val="00D22F3E"/>
    <w:rsid w:val="00D2314E"/>
    <w:rsid w:val="00D2359E"/>
    <w:rsid w:val="00D23717"/>
    <w:rsid w:val="00D23E57"/>
    <w:rsid w:val="00D24EBF"/>
    <w:rsid w:val="00D2533D"/>
    <w:rsid w:val="00D25B89"/>
    <w:rsid w:val="00D26764"/>
    <w:rsid w:val="00D27C77"/>
    <w:rsid w:val="00D3026E"/>
    <w:rsid w:val="00D304F5"/>
    <w:rsid w:val="00D30C64"/>
    <w:rsid w:val="00D31283"/>
    <w:rsid w:val="00D3185C"/>
    <w:rsid w:val="00D31BBE"/>
    <w:rsid w:val="00D31E1F"/>
    <w:rsid w:val="00D3205F"/>
    <w:rsid w:val="00D3289C"/>
    <w:rsid w:val="00D32E60"/>
    <w:rsid w:val="00D3318E"/>
    <w:rsid w:val="00D339F4"/>
    <w:rsid w:val="00D33B24"/>
    <w:rsid w:val="00D33E72"/>
    <w:rsid w:val="00D3443D"/>
    <w:rsid w:val="00D34C1B"/>
    <w:rsid w:val="00D35B7C"/>
    <w:rsid w:val="00D35BD6"/>
    <w:rsid w:val="00D35CB9"/>
    <w:rsid w:val="00D361B5"/>
    <w:rsid w:val="00D36638"/>
    <w:rsid w:val="00D36856"/>
    <w:rsid w:val="00D379A0"/>
    <w:rsid w:val="00D402DB"/>
    <w:rsid w:val="00D40519"/>
    <w:rsid w:val="00D411A2"/>
    <w:rsid w:val="00D41F72"/>
    <w:rsid w:val="00D41FA4"/>
    <w:rsid w:val="00D4345E"/>
    <w:rsid w:val="00D43B51"/>
    <w:rsid w:val="00D43C50"/>
    <w:rsid w:val="00D43CF0"/>
    <w:rsid w:val="00D44A67"/>
    <w:rsid w:val="00D44CC4"/>
    <w:rsid w:val="00D45447"/>
    <w:rsid w:val="00D4606D"/>
    <w:rsid w:val="00D461A5"/>
    <w:rsid w:val="00D467C5"/>
    <w:rsid w:val="00D467E4"/>
    <w:rsid w:val="00D472FD"/>
    <w:rsid w:val="00D4799C"/>
    <w:rsid w:val="00D47C83"/>
    <w:rsid w:val="00D502AB"/>
    <w:rsid w:val="00D505E8"/>
    <w:rsid w:val="00D5072C"/>
    <w:rsid w:val="00D50B9C"/>
    <w:rsid w:val="00D51132"/>
    <w:rsid w:val="00D51343"/>
    <w:rsid w:val="00D513AF"/>
    <w:rsid w:val="00D522D6"/>
    <w:rsid w:val="00D52D73"/>
    <w:rsid w:val="00D52E58"/>
    <w:rsid w:val="00D53A85"/>
    <w:rsid w:val="00D53CE8"/>
    <w:rsid w:val="00D53E5B"/>
    <w:rsid w:val="00D53FB1"/>
    <w:rsid w:val="00D5540F"/>
    <w:rsid w:val="00D5602E"/>
    <w:rsid w:val="00D56B20"/>
    <w:rsid w:val="00D56F32"/>
    <w:rsid w:val="00D578B3"/>
    <w:rsid w:val="00D60956"/>
    <w:rsid w:val="00D6174C"/>
    <w:rsid w:val="00D618F4"/>
    <w:rsid w:val="00D61F96"/>
    <w:rsid w:val="00D62210"/>
    <w:rsid w:val="00D62252"/>
    <w:rsid w:val="00D6284E"/>
    <w:rsid w:val="00D629B6"/>
    <w:rsid w:val="00D63636"/>
    <w:rsid w:val="00D63924"/>
    <w:rsid w:val="00D6429E"/>
    <w:rsid w:val="00D64363"/>
    <w:rsid w:val="00D64877"/>
    <w:rsid w:val="00D64C10"/>
    <w:rsid w:val="00D654B9"/>
    <w:rsid w:val="00D655FF"/>
    <w:rsid w:val="00D664CB"/>
    <w:rsid w:val="00D66AB9"/>
    <w:rsid w:val="00D70474"/>
    <w:rsid w:val="00D714CC"/>
    <w:rsid w:val="00D7166E"/>
    <w:rsid w:val="00D72ABB"/>
    <w:rsid w:val="00D72B7A"/>
    <w:rsid w:val="00D7338A"/>
    <w:rsid w:val="00D737EB"/>
    <w:rsid w:val="00D73EE9"/>
    <w:rsid w:val="00D747CD"/>
    <w:rsid w:val="00D75405"/>
    <w:rsid w:val="00D75A3B"/>
    <w:rsid w:val="00D75EA7"/>
    <w:rsid w:val="00D75FBB"/>
    <w:rsid w:val="00D761F5"/>
    <w:rsid w:val="00D763BF"/>
    <w:rsid w:val="00D77696"/>
    <w:rsid w:val="00D80190"/>
    <w:rsid w:val="00D80F0F"/>
    <w:rsid w:val="00D81ADF"/>
    <w:rsid w:val="00D81B85"/>
    <w:rsid w:val="00D81BDE"/>
    <w:rsid w:val="00D81E18"/>
    <w:rsid w:val="00D81F21"/>
    <w:rsid w:val="00D8239F"/>
    <w:rsid w:val="00D82677"/>
    <w:rsid w:val="00D8393B"/>
    <w:rsid w:val="00D83952"/>
    <w:rsid w:val="00D83F0E"/>
    <w:rsid w:val="00D83FC3"/>
    <w:rsid w:val="00D8423D"/>
    <w:rsid w:val="00D84658"/>
    <w:rsid w:val="00D84A13"/>
    <w:rsid w:val="00D8507B"/>
    <w:rsid w:val="00D8509E"/>
    <w:rsid w:val="00D8518B"/>
    <w:rsid w:val="00D85634"/>
    <w:rsid w:val="00D863FE"/>
    <w:rsid w:val="00D864F2"/>
    <w:rsid w:val="00D86567"/>
    <w:rsid w:val="00D90238"/>
    <w:rsid w:val="00D90276"/>
    <w:rsid w:val="00D90FCF"/>
    <w:rsid w:val="00D91374"/>
    <w:rsid w:val="00D91DBA"/>
    <w:rsid w:val="00D9204D"/>
    <w:rsid w:val="00D92161"/>
    <w:rsid w:val="00D924DA"/>
    <w:rsid w:val="00D92C56"/>
    <w:rsid w:val="00D93D2F"/>
    <w:rsid w:val="00D9409A"/>
    <w:rsid w:val="00D943F8"/>
    <w:rsid w:val="00D94FA5"/>
    <w:rsid w:val="00D94FE7"/>
    <w:rsid w:val="00D95470"/>
    <w:rsid w:val="00D956BE"/>
    <w:rsid w:val="00D96B55"/>
    <w:rsid w:val="00D979B3"/>
    <w:rsid w:val="00DA03FA"/>
    <w:rsid w:val="00DA2353"/>
    <w:rsid w:val="00DA2619"/>
    <w:rsid w:val="00DA2AAB"/>
    <w:rsid w:val="00DA2BDA"/>
    <w:rsid w:val="00DA2E57"/>
    <w:rsid w:val="00DA37CE"/>
    <w:rsid w:val="00DA3A16"/>
    <w:rsid w:val="00DA3EB0"/>
    <w:rsid w:val="00DA4239"/>
    <w:rsid w:val="00DA588C"/>
    <w:rsid w:val="00DA5F78"/>
    <w:rsid w:val="00DA65DE"/>
    <w:rsid w:val="00DB0B61"/>
    <w:rsid w:val="00DB1352"/>
    <w:rsid w:val="00DB1474"/>
    <w:rsid w:val="00DB1B6E"/>
    <w:rsid w:val="00DB258F"/>
    <w:rsid w:val="00DB2962"/>
    <w:rsid w:val="00DB4204"/>
    <w:rsid w:val="00DB45CB"/>
    <w:rsid w:val="00DB4E07"/>
    <w:rsid w:val="00DB4FD3"/>
    <w:rsid w:val="00DB52FB"/>
    <w:rsid w:val="00DB55BD"/>
    <w:rsid w:val="00DB6C63"/>
    <w:rsid w:val="00DB71D8"/>
    <w:rsid w:val="00DC013B"/>
    <w:rsid w:val="00DC090B"/>
    <w:rsid w:val="00DC0AAB"/>
    <w:rsid w:val="00DC1679"/>
    <w:rsid w:val="00DC219B"/>
    <w:rsid w:val="00DC2327"/>
    <w:rsid w:val="00DC2CF1"/>
    <w:rsid w:val="00DC2DC7"/>
    <w:rsid w:val="00DC3A7C"/>
    <w:rsid w:val="00DC412C"/>
    <w:rsid w:val="00DC41DD"/>
    <w:rsid w:val="00DC4BAD"/>
    <w:rsid w:val="00DC4FCF"/>
    <w:rsid w:val="00DC50E0"/>
    <w:rsid w:val="00DC5129"/>
    <w:rsid w:val="00DC51A8"/>
    <w:rsid w:val="00DC5447"/>
    <w:rsid w:val="00DC5BC6"/>
    <w:rsid w:val="00DC5D1C"/>
    <w:rsid w:val="00DC6386"/>
    <w:rsid w:val="00DC6470"/>
    <w:rsid w:val="00DC723C"/>
    <w:rsid w:val="00DC79F0"/>
    <w:rsid w:val="00DC7DE6"/>
    <w:rsid w:val="00DD0379"/>
    <w:rsid w:val="00DD1130"/>
    <w:rsid w:val="00DD117A"/>
    <w:rsid w:val="00DD16F1"/>
    <w:rsid w:val="00DD1951"/>
    <w:rsid w:val="00DD1CEC"/>
    <w:rsid w:val="00DD24B2"/>
    <w:rsid w:val="00DD264F"/>
    <w:rsid w:val="00DD2AE6"/>
    <w:rsid w:val="00DD2EA5"/>
    <w:rsid w:val="00DD487D"/>
    <w:rsid w:val="00DD4883"/>
    <w:rsid w:val="00DD48F3"/>
    <w:rsid w:val="00DD4E83"/>
    <w:rsid w:val="00DD52FF"/>
    <w:rsid w:val="00DD53D5"/>
    <w:rsid w:val="00DD57A0"/>
    <w:rsid w:val="00DD6628"/>
    <w:rsid w:val="00DD6945"/>
    <w:rsid w:val="00DD73DD"/>
    <w:rsid w:val="00DD7B5E"/>
    <w:rsid w:val="00DD7C6F"/>
    <w:rsid w:val="00DD7CAD"/>
    <w:rsid w:val="00DE10F7"/>
    <w:rsid w:val="00DE1608"/>
    <w:rsid w:val="00DE1BB9"/>
    <w:rsid w:val="00DE2A03"/>
    <w:rsid w:val="00DE2C3E"/>
    <w:rsid w:val="00DE2D04"/>
    <w:rsid w:val="00DE3250"/>
    <w:rsid w:val="00DE36B1"/>
    <w:rsid w:val="00DE3987"/>
    <w:rsid w:val="00DE3A72"/>
    <w:rsid w:val="00DE3CA2"/>
    <w:rsid w:val="00DE3E25"/>
    <w:rsid w:val="00DE4763"/>
    <w:rsid w:val="00DE4E28"/>
    <w:rsid w:val="00DE51A5"/>
    <w:rsid w:val="00DE538E"/>
    <w:rsid w:val="00DE5688"/>
    <w:rsid w:val="00DE6028"/>
    <w:rsid w:val="00DE62D0"/>
    <w:rsid w:val="00DE6836"/>
    <w:rsid w:val="00DE6C85"/>
    <w:rsid w:val="00DE78A3"/>
    <w:rsid w:val="00DE7A56"/>
    <w:rsid w:val="00DE7ECD"/>
    <w:rsid w:val="00DF0AAB"/>
    <w:rsid w:val="00DF1A71"/>
    <w:rsid w:val="00DF1AB7"/>
    <w:rsid w:val="00DF24DF"/>
    <w:rsid w:val="00DF2B4D"/>
    <w:rsid w:val="00DF2FBA"/>
    <w:rsid w:val="00DF315F"/>
    <w:rsid w:val="00DF330F"/>
    <w:rsid w:val="00DF37A0"/>
    <w:rsid w:val="00DF4B4D"/>
    <w:rsid w:val="00DF50FC"/>
    <w:rsid w:val="00DF68C7"/>
    <w:rsid w:val="00DF690E"/>
    <w:rsid w:val="00DF6C67"/>
    <w:rsid w:val="00DF731A"/>
    <w:rsid w:val="00DF74B1"/>
    <w:rsid w:val="00E015C1"/>
    <w:rsid w:val="00E01B44"/>
    <w:rsid w:val="00E0280F"/>
    <w:rsid w:val="00E031C9"/>
    <w:rsid w:val="00E035DF"/>
    <w:rsid w:val="00E03C09"/>
    <w:rsid w:val="00E042F9"/>
    <w:rsid w:val="00E045CB"/>
    <w:rsid w:val="00E0492F"/>
    <w:rsid w:val="00E06B75"/>
    <w:rsid w:val="00E0720A"/>
    <w:rsid w:val="00E076F1"/>
    <w:rsid w:val="00E109F9"/>
    <w:rsid w:val="00E10CF2"/>
    <w:rsid w:val="00E10D8C"/>
    <w:rsid w:val="00E11332"/>
    <w:rsid w:val="00E11352"/>
    <w:rsid w:val="00E1174A"/>
    <w:rsid w:val="00E11CC2"/>
    <w:rsid w:val="00E11FE3"/>
    <w:rsid w:val="00E12AC0"/>
    <w:rsid w:val="00E1320B"/>
    <w:rsid w:val="00E13229"/>
    <w:rsid w:val="00E1324A"/>
    <w:rsid w:val="00E13AE7"/>
    <w:rsid w:val="00E14616"/>
    <w:rsid w:val="00E152FC"/>
    <w:rsid w:val="00E15A36"/>
    <w:rsid w:val="00E162E4"/>
    <w:rsid w:val="00E16845"/>
    <w:rsid w:val="00E17050"/>
    <w:rsid w:val="00E170DC"/>
    <w:rsid w:val="00E17546"/>
    <w:rsid w:val="00E17B4B"/>
    <w:rsid w:val="00E2022F"/>
    <w:rsid w:val="00E20D16"/>
    <w:rsid w:val="00E210B5"/>
    <w:rsid w:val="00E2120A"/>
    <w:rsid w:val="00E218B7"/>
    <w:rsid w:val="00E21CCB"/>
    <w:rsid w:val="00E22125"/>
    <w:rsid w:val="00E22F49"/>
    <w:rsid w:val="00E237F6"/>
    <w:rsid w:val="00E24227"/>
    <w:rsid w:val="00E24DDF"/>
    <w:rsid w:val="00E253E4"/>
    <w:rsid w:val="00E25D08"/>
    <w:rsid w:val="00E260DE"/>
    <w:rsid w:val="00E261B3"/>
    <w:rsid w:val="00E26818"/>
    <w:rsid w:val="00E2682E"/>
    <w:rsid w:val="00E26DF9"/>
    <w:rsid w:val="00E27D3F"/>
    <w:rsid w:val="00E27FFC"/>
    <w:rsid w:val="00E301D9"/>
    <w:rsid w:val="00E3051A"/>
    <w:rsid w:val="00E3057C"/>
    <w:rsid w:val="00E3086D"/>
    <w:rsid w:val="00E30B15"/>
    <w:rsid w:val="00E30D46"/>
    <w:rsid w:val="00E31514"/>
    <w:rsid w:val="00E31978"/>
    <w:rsid w:val="00E326C7"/>
    <w:rsid w:val="00E33237"/>
    <w:rsid w:val="00E34D52"/>
    <w:rsid w:val="00E35339"/>
    <w:rsid w:val="00E356CB"/>
    <w:rsid w:val="00E357A5"/>
    <w:rsid w:val="00E367C4"/>
    <w:rsid w:val="00E36A76"/>
    <w:rsid w:val="00E36A7F"/>
    <w:rsid w:val="00E37277"/>
    <w:rsid w:val="00E37D5D"/>
    <w:rsid w:val="00E37EC8"/>
    <w:rsid w:val="00E4009B"/>
    <w:rsid w:val="00E40181"/>
    <w:rsid w:val="00E42A32"/>
    <w:rsid w:val="00E44E2A"/>
    <w:rsid w:val="00E456F0"/>
    <w:rsid w:val="00E45A6A"/>
    <w:rsid w:val="00E50EE2"/>
    <w:rsid w:val="00E51206"/>
    <w:rsid w:val="00E517D9"/>
    <w:rsid w:val="00E5321D"/>
    <w:rsid w:val="00E54304"/>
    <w:rsid w:val="00E54526"/>
    <w:rsid w:val="00E54950"/>
    <w:rsid w:val="00E54FCC"/>
    <w:rsid w:val="00E559B7"/>
    <w:rsid w:val="00E55C65"/>
    <w:rsid w:val="00E55FB3"/>
    <w:rsid w:val="00E563D8"/>
    <w:rsid w:val="00E56585"/>
    <w:rsid w:val="00E56746"/>
    <w:rsid w:val="00E56A01"/>
    <w:rsid w:val="00E56BF2"/>
    <w:rsid w:val="00E56CDB"/>
    <w:rsid w:val="00E57597"/>
    <w:rsid w:val="00E57ADC"/>
    <w:rsid w:val="00E57C5E"/>
    <w:rsid w:val="00E60BAF"/>
    <w:rsid w:val="00E61FA6"/>
    <w:rsid w:val="00E61FEE"/>
    <w:rsid w:val="00E623D4"/>
    <w:rsid w:val="00E629A1"/>
    <w:rsid w:val="00E62A21"/>
    <w:rsid w:val="00E62C2C"/>
    <w:rsid w:val="00E634B3"/>
    <w:rsid w:val="00E6424D"/>
    <w:rsid w:val="00E65355"/>
    <w:rsid w:val="00E6562D"/>
    <w:rsid w:val="00E662BC"/>
    <w:rsid w:val="00E66EA4"/>
    <w:rsid w:val="00E674B8"/>
    <w:rsid w:val="00E6794C"/>
    <w:rsid w:val="00E67FC5"/>
    <w:rsid w:val="00E71265"/>
    <w:rsid w:val="00E71591"/>
    <w:rsid w:val="00E71CEB"/>
    <w:rsid w:val="00E71F1F"/>
    <w:rsid w:val="00E72436"/>
    <w:rsid w:val="00E724D9"/>
    <w:rsid w:val="00E7474F"/>
    <w:rsid w:val="00E74DAF"/>
    <w:rsid w:val="00E76984"/>
    <w:rsid w:val="00E7764C"/>
    <w:rsid w:val="00E77901"/>
    <w:rsid w:val="00E77C64"/>
    <w:rsid w:val="00E80298"/>
    <w:rsid w:val="00E80DE3"/>
    <w:rsid w:val="00E81DB1"/>
    <w:rsid w:val="00E8233F"/>
    <w:rsid w:val="00E82C55"/>
    <w:rsid w:val="00E83544"/>
    <w:rsid w:val="00E838A8"/>
    <w:rsid w:val="00E84286"/>
    <w:rsid w:val="00E8493E"/>
    <w:rsid w:val="00E854B3"/>
    <w:rsid w:val="00E85B06"/>
    <w:rsid w:val="00E86499"/>
    <w:rsid w:val="00E8653C"/>
    <w:rsid w:val="00E86AC4"/>
    <w:rsid w:val="00E86CE3"/>
    <w:rsid w:val="00E8787E"/>
    <w:rsid w:val="00E87CA3"/>
    <w:rsid w:val="00E87D07"/>
    <w:rsid w:val="00E9135E"/>
    <w:rsid w:val="00E91C3F"/>
    <w:rsid w:val="00E91DF8"/>
    <w:rsid w:val="00E920E9"/>
    <w:rsid w:val="00E929C3"/>
    <w:rsid w:val="00E929D5"/>
    <w:rsid w:val="00E92AC3"/>
    <w:rsid w:val="00E93197"/>
    <w:rsid w:val="00E939D6"/>
    <w:rsid w:val="00E93C2E"/>
    <w:rsid w:val="00E9489A"/>
    <w:rsid w:val="00E94C9C"/>
    <w:rsid w:val="00E95705"/>
    <w:rsid w:val="00E96131"/>
    <w:rsid w:val="00E96615"/>
    <w:rsid w:val="00E966FC"/>
    <w:rsid w:val="00E96DB6"/>
    <w:rsid w:val="00E9769C"/>
    <w:rsid w:val="00E97B58"/>
    <w:rsid w:val="00EA0E0C"/>
    <w:rsid w:val="00EA2F6A"/>
    <w:rsid w:val="00EA3325"/>
    <w:rsid w:val="00EA38A4"/>
    <w:rsid w:val="00EA456D"/>
    <w:rsid w:val="00EA4662"/>
    <w:rsid w:val="00EA58C1"/>
    <w:rsid w:val="00EA74EE"/>
    <w:rsid w:val="00EA757F"/>
    <w:rsid w:val="00EB00E0"/>
    <w:rsid w:val="00EB0141"/>
    <w:rsid w:val="00EB05D5"/>
    <w:rsid w:val="00EB0600"/>
    <w:rsid w:val="00EB0F02"/>
    <w:rsid w:val="00EB15ED"/>
    <w:rsid w:val="00EB1770"/>
    <w:rsid w:val="00EB1811"/>
    <w:rsid w:val="00EB1931"/>
    <w:rsid w:val="00EB30C9"/>
    <w:rsid w:val="00EB3A72"/>
    <w:rsid w:val="00EB406B"/>
    <w:rsid w:val="00EB4BC7"/>
    <w:rsid w:val="00EB4DE9"/>
    <w:rsid w:val="00EB5236"/>
    <w:rsid w:val="00EB5892"/>
    <w:rsid w:val="00EB7B46"/>
    <w:rsid w:val="00EC014E"/>
    <w:rsid w:val="00EC059F"/>
    <w:rsid w:val="00EC0907"/>
    <w:rsid w:val="00EC0AB7"/>
    <w:rsid w:val="00EC0E3D"/>
    <w:rsid w:val="00EC1F24"/>
    <w:rsid w:val="00EC20FF"/>
    <w:rsid w:val="00EC22F6"/>
    <w:rsid w:val="00EC2D4C"/>
    <w:rsid w:val="00EC3B1D"/>
    <w:rsid w:val="00EC3C8E"/>
    <w:rsid w:val="00EC3DB9"/>
    <w:rsid w:val="00EC439D"/>
    <w:rsid w:val="00EC4556"/>
    <w:rsid w:val="00EC56C3"/>
    <w:rsid w:val="00EC57EF"/>
    <w:rsid w:val="00EC59BA"/>
    <w:rsid w:val="00EC5B86"/>
    <w:rsid w:val="00EC6334"/>
    <w:rsid w:val="00EC643E"/>
    <w:rsid w:val="00EC6960"/>
    <w:rsid w:val="00EC6D00"/>
    <w:rsid w:val="00ED195F"/>
    <w:rsid w:val="00ED2EB0"/>
    <w:rsid w:val="00ED476D"/>
    <w:rsid w:val="00ED5164"/>
    <w:rsid w:val="00ED5248"/>
    <w:rsid w:val="00ED596C"/>
    <w:rsid w:val="00ED59A0"/>
    <w:rsid w:val="00ED5A75"/>
    <w:rsid w:val="00ED5B9B"/>
    <w:rsid w:val="00ED6A06"/>
    <w:rsid w:val="00ED6BAD"/>
    <w:rsid w:val="00ED6D50"/>
    <w:rsid w:val="00ED705B"/>
    <w:rsid w:val="00ED7447"/>
    <w:rsid w:val="00ED7762"/>
    <w:rsid w:val="00ED7DE9"/>
    <w:rsid w:val="00EE00D6"/>
    <w:rsid w:val="00EE062C"/>
    <w:rsid w:val="00EE11E7"/>
    <w:rsid w:val="00EE1488"/>
    <w:rsid w:val="00EE1730"/>
    <w:rsid w:val="00EE2141"/>
    <w:rsid w:val="00EE29AD"/>
    <w:rsid w:val="00EE2B88"/>
    <w:rsid w:val="00EE2D12"/>
    <w:rsid w:val="00EE38C9"/>
    <w:rsid w:val="00EE3993"/>
    <w:rsid w:val="00EE3B34"/>
    <w:rsid w:val="00EE3E05"/>
    <w:rsid w:val="00EE3E24"/>
    <w:rsid w:val="00EE4429"/>
    <w:rsid w:val="00EE449E"/>
    <w:rsid w:val="00EE4D5D"/>
    <w:rsid w:val="00EE4F66"/>
    <w:rsid w:val="00EE50FF"/>
    <w:rsid w:val="00EE5131"/>
    <w:rsid w:val="00EE5370"/>
    <w:rsid w:val="00EE538C"/>
    <w:rsid w:val="00EE5BE0"/>
    <w:rsid w:val="00EE708F"/>
    <w:rsid w:val="00EE70BE"/>
    <w:rsid w:val="00EE7189"/>
    <w:rsid w:val="00EF109B"/>
    <w:rsid w:val="00EF12E8"/>
    <w:rsid w:val="00EF201C"/>
    <w:rsid w:val="00EF241C"/>
    <w:rsid w:val="00EF2961"/>
    <w:rsid w:val="00EF2C72"/>
    <w:rsid w:val="00EF329D"/>
    <w:rsid w:val="00EF35BF"/>
    <w:rsid w:val="00EF36AF"/>
    <w:rsid w:val="00EF36D2"/>
    <w:rsid w:val="00EF39A7"/>
    <w:rsid w:val="00EF3BD9"/>
    <w:rsid w:val="00EF3EFB"/>
    <w:rsid w:val="00EF5701"/>
    <w:rsid w:val="00EF59A3"/>
    <w:rsid w:val="00EF604F"/>
    <w:rsid w:val="00EF6675"/>
    <w:rsid w:val="00EF7E53"/>
    <w:rsid w:val="00F0063D"/>
    <w:rsid w:val="00F00E91"/>
    <w:rsid w:val="00F00F9C"/>
    <w:rsid w:val="00F01E5F"/>
    <w:rsid w:val="00F0204A"/>
    <w:rsid w:val="00F0248C"/>
    <w:rsid w:val="00F024F3"/>
    <w:rsid w:val="00F029DC"/>
    <w:rsid w:val="00F02A04"/>
    <w:rsid w:val="00F02ABA"/>
    <w:rsid w:val="00F0337B"/>
    <w:rsid w:val="00F03390"/>
    <w:rsid w:val="00F03701"/>
    <w:rsid w:val="00F03A64"/>
    <w:rsid w:val="00F0437A"/>
    <w:rsid w:val="00F04825"/>
    <w:rsid w:val="00F04DF1"/>
    <w:rsid w:val="00F05503"/>
    <w:rsid w:val="00F06758"/>
    <w:rsid w:val="00F06CF9"/>
    <w:rsid w:val="00F101B8"/>
    <w:rsid w:val="00F10968"/>
    <w:rsid w:val="00F10C7D"/>
    <w:rsid w:val="00F10DFC"/>
    <w:rsid w:val="00F11037"/>
    <w:rsid w:val="00F110DA"/>
    <w:rsid w:val="00F112C8"/>
    <w:rsid w:val="00F115E1"/>
    <w:rsid w:val="00F11603"/>
    <w:rsid w:val="00F1210D"/>
    <w:rsid w:val="00F1289B"/>
    <w:rsid w:val="00F13E0D"/>
    <w:rsid w:val="00F14A76"/>
    <w:rsid w:val="00F16602"/>
    <w:rsid w:val="00F16A18"/>
    <w:rsid w:val="00F16F1B"/>
    <w:rsid w:val="00F16FE9"/>
    <w:rsid w:val="00F173B0"/>
    <w:rsid w:val="00F17B49"/>
    <w:rsid w:val="00F17C94"/>
    <w:rsid w:val="00F206E2"/>
    <w:rsid w:val="00F20777"/>
    <w:rsid w:val="00F215E6"/>
    <w:rsid w:val="00F21D44"/>
    <w:rsid w:val="00F220F8"/>
    <w:rsid w:val="00F22752"/>
    <w:rsid w:val="00F22792"/>
    <w:rsid w:val="00F228BD"/>
    <w:rsid w:val="00F22A6F"/>
    <w:rsid w:val="00F23FFA"/>
    <w:rsid w:val="00F24237"/>
    <w:rsid w:val="00F2456B"/>
    <w:rsid w:val="00F249BD"/>
    <w:rsid w:val="00F250A9"/>
    <w:rsid w:val="00F25665"/>
    <w:rsid w:val="00F259F7"/>
    <w:rsid w:val="00F25F68"/>
    <w:rsid w:val="00F2651D"/>
    <w:rsid w:val="00F267AF"/>
    <w:rsid w:val="00F27F1A"/>
    <w:rsid w:val="00F30343"/>
    <w:rsid w:val="00F30FF4"/>
    <w:rsid w:val="00F3122E"/>
    <w:rsid w:val="00F31F42"/>
    <w:rsid w:val="00F32368"/>
    <w:rsid w:val="00F32520"/>
    <w:rsid w:val="00F327B6"/>
    <w:rsid w:val="00F331AD"/>
    <w:rsid w:val="00F33BE2"/>
    <w:rsid w:val="00F33D5A"/>
    <w:rsid w:val="00F3456E"/>
    <w:rsid w:val="00F34AC1"/>
    <w:rsid w:val="00F35287"/>
    <w:rsid w:val="00F371D8"/>
    <w:rsid w:val="00F40A70"/>
    <w:rsid w:val="00F42952"/>
    <w:rsid w:val="00F42997"/>
    <w:rsid w:val="00F42E87"/>
    <w:rsid w:val="00F43A37"/>
    <w:rsid w:val="00F43ACB"/>
    <w:rsid w:val="00F43BF6"/>
    <w:rsid w:val="00F43BFE"/>
    <w:rsid w:val="00F43D01"/>
    <w:rsid w:val="00F43E0A"/>
    <w:rsid w:val="00F43F6C"/>
    <w:rsid w:val="00F44961"/>
    <w:rsid w:val="00F449A0"/>
    <w:rsid w:val="00F44E8C"/>
    <w:rsid w:val="00F45077"/>
    <w:rsid w:val="00F45A81"/>
    <w:rsid w:val="00F4641B"/>
    <w:rsid w:val="00F46EB8"/>
    <w:rsid w:val="00F4746A"/>
    <w:rsid w:val="00F47514"/>
    <w:rsid w:val="00F47567"/>
    <w:rsid w:val="00F476B8"/>
    <w:rsid w:val="00F47D96"/>
    <w:rsid w:val="00F50130"/>
    <w:rsid w:val="00F506D8"/>
    <w:rsid w:val="00F50CD1"/>
    <w:rsid w:val="00F50D9F"/>
    <w:rsid w:val="00F5108F"/>
    <w:rsid w:val="00F511E4"/>
    <w:rsid w:val="00F51200"/>
    <w:rsid w:val="00F517AF"/>
    <w:rsid w:val="00F51CDE"/>
    <w:rsid w:val="00F521EB"/>
    <w:rsid w:val="00F5243C"/>
    <w:rsid w:val="00F52D09"/>
    <w:rsid w:val="00F52D92"/>
    <w:rsid w:val="00F52E08"/>
    <w:rsid w:val="00F53A66"/>
    <w:rsid w:val="00F5408D"/>
    <w:rsid w:val="00F5462D"/>
    <w:rsid w:val="00F546CF"/>
    <w:rsid w:val="00F55233"/>
    <w:rsid w:val="00F55B21"/>
    <w:rsid w:val="00F5684E"/>
    <w:rsid w:val="00F56A84"/>
    <w:rsid w:val="00F56E8B"/>
    <w:rsid w:val="00F56EB5"/>
    <w:rsid w:val="00F56EF6"/>
    <w:rsid w:val="00F57B58"/>
    <w:rsid w:val="00F57FF5"/>
    <w:rsid w:val="00F60082"/>
    <w:rsid w:val="00F60223"/>
    <w:rsid w:val="00F6111B"/>
    <w:rsid w:val="00F61A9F"/>
    <w:rsid w:val="00F61B5F"/>
    <w:rsid w:val="00F62852"/>
    <w:rsid w:val="00F6375F"/>
    <w:rsid w:val="00F64170"/>
    <w:rsid w:val="00F64696"/>
    <w:rsid w:val="00F65334"/>
    <w:rsid w:val="00F6533B"/>
    <w:rsid w:val="00F6552C"/>
    <w:rsid w:val="00F65970"/>
    <w:rsid w:val="00F65AA9"/>
    <w:rsid w:val="00F6768F"/>
    <w:rsid w:val="00F67771"/>
    <w:rsid w:val="00F678F3"/>
    <w:rsid w:val="00F71516"/>
    <w:rsid w:val="00F72115"/>
    <w:rsid w:val="00F727D8"/>
    <w:rsid w:val="00F72C2C"/>
    <w:rsid w:val="00F7358D"/>
    <w:rsid w:val="00F741F2"/>
    <w:rsid w:val="00F745A4"/>
    <w:rsid w:val="00F7511A"/>
    <w:rsid w:val="00F751EC"/>
    <w:rsid w:val="00F76630"/>
    <w:rsid w:val="00F76A3F"/>
    <w:rsid w:val="00F76CAB"/>
    <w:rsid w:val="00F772C6"/>
    <w:rsid w:val="00F77496"/>
    <w:rsid w:val="00F77A3F"/>
    <w:rsid w:val="00F77F59"/>
    <w:rsid w:val="00F80487"/>
    <w:rsid w:val="00F80EBC"/>
    <w:rsid w:val="00F815B5"/>
    <w:rsid w:val="00F8169C"/>
    <w:rsid w:val="00F8186F"/>
    <w:rsid w:val="00F81D54"/>
    <w:rsid w:val="00F82C2F"/>
    <w:rsid w:val="00F82EFE"/>
    <w:rsid w:val="00F84D9B"/>
    <w:rsid w:val="00F85195"/>
    <w:rsid w:val="00F857D4"/>
    <w:rsid w:val="00F85951"/>
    <w:rsid w:val="00F868E3"/>
    <w:rsid w:val="00F87185"/>
    <w:rsid w:val="00F87D06"/>
    <w:rsid w:val="00F90040"/>
    <w:rsid w:val="00F9137B"/>
    <w:rsid w:val="00F92398"/>
    <w:rsid w:val="00F928FC"/>
    <w:rsid w:val="00F933BF"/>
    <w:rsid w:val="00F9345F"/>
    <w:rsid w:val="00F938BA"/>
    <w:rsid w:val="00F93CAD"/>
    <w:rsid w:val="00F94DAB"/>
    <w:rsid w:val="00F953C1"/>
    <w:rsid w:val="00F96266"/>
    <w:rsid w:val="00F97121"/>
    <w:rsid w:val="00F972B1"/>
    <w:rsid w:val="00F97684"/>
    <w:rsid w:val="00F97919"/>
    <w:rsid w:val="00F97DB2"/>
    <w:rsid w:val="00F97FBC"/>
    <w:rsid w:val="00FA04FA"/>
    <w:rsid w:val="00FA06D8"/>
    <w:rsid w:val="00FA06FF"/>
    <w:rsid w:val="00FA127E"/>
    <w:rsid w:val="00FA1D01"/>
    <w:rsid w:val="00FA2875"/>
    <w:rsid w:val="00FA2C46"/>
    <w:rsid w:val="00FA2E19"/>
    <w:rsid w:val="00FA3525"/>
    <w:rsid w:val="00FA397C"/>
    <w:rsid w:val="00FA41FD"/>
    <w:rsid w:val="00FA568D"/>
    <w:rsid w:val="00FA57B9"/>
    <w:rsid w:val="00FA5A53"/>
    <w:rsid w:val="00FA7A11"/>
    <w:rsid w:val="00FB016D"/>
    <w:rsid w:val="00FB13BB"/>
    <w:rsid w:val="00FB1463"/>
    <w:rsid w:val="00FB1F6E"/>
    <w:rsid w:val="00FB1F7E"/>
    <w:rsid w:val="00FB20CD"/>
    <w:rsid w:val="00FB2782"/>
    <w:rsid w:val="00FB27DA"/>
    <w:rsid w:val="00FB3501"/>
    <w:rsid w:val="00FB3EA4"/>
    <w:rsid w:val="00FB4769"/>
    <w:rsid w:val="00FB4CDA"/>
    <w:rsid w:val="00FB5B4E"/>
    <w:rsid w:val="00FB6481"/>
    <w:rsid w:val="00FB682A"/>
    <w:rsid w:val="00FB689E"/>
    <w:rsid w:val="00FB6D36"/>
    <w:rsid w:val="00FB6EFD"/>
    <w:rsid w:val="00FB7188"/>
    <w:rsid w:val="00FC02D1"/>
    <w:rsid w:val="00FC0965"/>
    <w:rsid w:val="00FC0BC4"/>
    <w:rsid w:val="00FC0F81"/>
    <w:rsid w:val="00FC2242"/>
    <w:rsid w:val="00FC252F"/>
    <w:rsid w:val="00FC2CF5"/>
    <w:rsid w:val="00FC395C"/>
    <w:rsid w:val="00FC4EF3"/>
    <w:rsid w:val="00FC553D"/>
    <w:rsid w:val="00FC56D7"/>
    <w:rsid w:val="00FC5C91"/>
    <w:rsid w:val="00FC5E8E"/>
    <w:rsid w:val="00FC6449"/>
    <w:rsid w:val="00FC6457"/>
    <w:rsid w:val="00FC7159"/>
    <w:rsid w:val="00FC78EC"/>
    <w:rsid w:val="00FD0401"/>
    <w:rsid w:val="00FD2472"/>
    <w:rsid w:val="00FD3013"/>
    <w:rsid w:val="00FD3635"/>
    <w:rsid w:val="00FD3766"/>
    <w:rsid w:val="00FD3A35"/>
    <w:rsid w:val="00FD3B30"/>
    <w:rsid w:val="00FD3D05"/>
    <w:rsid w:val="00FD47C4"/>
    <w:rsid w:val="00FD4884"/>
    <w:rsid w:val="00FD48D6"/>
    <w:rsid w:val="00FD515B"/>
    <w:rsid w:val="00FD59AF"/>
    <w:rsid w:val="00FD605E"/>
    <w:rsid w:val="00FD6688"/>
    <w:rsid w:val="00FD7082"/>
    <w:rsid w:val="00FD73BD"/>
    <w:rsid w:val="00FD761E"/>
    <w:rsid w:val="00FE0693"/>
    <w:rsid w:val="00FE0816"/>
    <w:rsid w:val="00FE1FA9"/>
    <w:rsid w:val="00FE260D"/>
    <w:rsid w:val="00FE295D"/>
    <w:rsid w:val="00FE2B8E"/>
    <w:rsid w:val="00FE2D33"/>
    <w:rsid w:val="00FE2DCF"/>
    <w:rsid w:val="00FE3FA7"/>
    <w:rsid w:val="00FE4081"/>
    <w:rsid w:val="00FE42BF"/>
    <w:rsid w:val="00FE44E3"/>
    <w:rsid w:val="00FE44F0"/>
    <w:rsid w:val="00FE5CE9"/>
    <w:rsid w:val="00FE623D"/>
    <w:rsid w:val="00FE6800"/>
    <w:rsid w:val="00FE6876"/>
    <w:rsid w:val="00FE6B58"/>
    <w:rsid w:val="00FE6F74"/>
    <w:rsid w:val="00FE77EE"/>
    <w:rsid w:val="00FE7BB2"/>
    <w:rsid w:val="00FF104C"/>
    <w:rsid w:val="00FF2001"/>
    <w:rsid w:val="00FF2A4E"/>
    <w:rsid w:val="00FF2CE2"/>
    <w:rsid w:val="00FF2FCE"/>
    <w:rsid w:val="00FF30A9"/>
    <w:rsid w:val="00FF3894"/>
    <w:rsid w:val="00FF3E15"/>
    <w:rsid w:val="00FF3E70"/>
    <w:rsid w:val="00FF4F7D"/>
    <w:rsid w:val="00FF4F89"/>
    <w:rsid w:val="00FF513E"/>
    <w:rsid w:val="00FF6400"/>
    <w:rsid w:val="00FF6AC2"/>
    <w:rsid w:val="00FF6B09"/>
    <w:rsid w:val="00FF6D9D"/>
    <w:rsid w:val="00FF7620"/>
    <w:rsid w:val="00FF786D"/>
    <w:rsid w:val="00FF7A72"/>
    <w:rsid w:val="00FF7DD5"/>
    <w:rsid w:val="012F0A3E"/>
    <w:rsid w:val="01D0CF5B"/>
    <w:rsid w:val="01F57653"/>
    <w:rsid w:val="021B36FD"/>
    <w:rsid w:val="024965D9"/>
    <w:rsid w:val="025571F4"/>
    <w:rsid w:val="025BFBBE"/>
    <w:rsid w:val="028AF04B"/>
    <w:rsid w:val="02A35480"/>
    <w:rsid w:val="02AEA494"/>
    <w:rsid w:val="02BAB695"/>
    <w:rsid w:val="0315243C"/>
    <w:rsid w:val="03251F0F"/>
    <w:rsid w:val="03490C84"/>
    <w:rsid w:val="03503C89"/>
    <w:rsid w:val="035AE9A1"/>
    <w:rsid w:val="03665ADB"/>
    <w:rsid w:val="03709C19"/>
    <w:rsid w:val="038A9BEA"/>
    <w:rsid w:val="03AA3F77"/>
    <w:rsid w:val="03B19148"/>
    <w:rsid w:val="03D3CBDF"/>
    <w:rsid w:val="03D4DA3A"/>
    <w:rsid w:val="0427C8C9"/>
    <w:rsid w:val="046AA875"/>
    <w:rsid w:val="047EDE1A"/>
    <w:rsid w:val="049EB7DB"/>
    <w:rsid w:val="04B2B214"/>
    <w:rsid w:val="0505B4C4"/>
    <w:rsid w:val="051E0408"/>
    <w:rsid w:val="051E4E53"/>
    <w:rsid w:val="053D16A4"/>
    <w:rsid w:val="0558BA76"/>
    <w:rsid w:val="058E3917"/>
    <w:rsid w:val="05939C80"/>
    <w:rsid w:val="05C36F84"/>
    <w:rsid w:val="060AEC1E"/>
    <w:rsid w:val="062A7BA0"/>
    <w:rsid w:val="0685F614"/>
    <w:rsid w:val="071576EC"/>
    <w:rsid w:val="075DA48F"/>
    <w:rsid w:val="0764C5AA"/>
    <w:rsid w:val="0778F0E0"/>
    <w:rsid w:val="07853B01"/>
    <w:rsid w:val="07A6E183"/>
    <w:rsid w:val="08450D55"/>
    <w:rsid w:val="08685D84"/>
    <w:rsid w:val="08757CAC"/>
    <w:rsid w:val="0883DE1C"/>
    <w:rsid w:val="08FD25E5"/>
    <w:rsid w:val="091D8C4E"/>
    <w:rsid w:val="093113CB"/>
    <w:rsid w:val="093B2875"/>
    <w:rsid w:val="09855B63"/>
    <w:rsid w:val="09877373"/>
    <w:rsid w:val="09D29330"/>
    <w:rsid w:val="09F59E00"/>
    <w:rsid w:val="09FAA497"/>
    <w:rsid w:val="0A040C2A"/>
    <w:rsid w:val="0A05600D"/>
    <w:rsid w:val="0A9ABA3D"/>
    <w:rsid w:val="0AAB111D"/>
    <w:rsid w:val="0AFA95D1"/>
    <w:rsid w:val="0B25703C"/>
    <w:rsid w:val="0B3A79A4"/>
    <w:rsid w:val="0B8ECB0D"/>
    <w:rsid w:val="0BE771F8"/>
    <w:rsid w:val="0BF2335A"/>
    <w:rsid w:val="0C0ED6B2"/>
    <w:rsid w:val="0C393185"/>
    <w:rsid w:val="0C66AB6A"/>
    <w:rsid w:val="0C67EDC3"/>
    <w:rsid w:val="0C825C1B"/>
    <w:rsid w:val="0C9AEC09"/>
    <w:rsid w:val="0CAD10FA"/>
    <w:rsid w:val="0CE70C1C"/>
    <w:rsid w:val="0CED766F"/>
    <w:rsid w:val="0CFF874D"/>
    <w:rsid w:val="0D3D00CF"/>
    <w:rsid w:val="0D6285D7"/>
    <w:rsid w:val="0D64F1D5"/>
    <w:rsid w:val="0D838DB3"/>
    <w:rsid w:val="0DE6D4A5"/>
    <w:rsid w:val="0DE7D434"/>
    <w:rsid w:val="0E04A46E"/>
    <w:rsid w:val="0E1CAC70"/>
    <w:rsid w:val="0E5F1017"/>
    <w:rsid w:val="0E8F82A6"/>
    <w:rsid w:val="0EC3F4C9"/>
    <w:rsid w:val="0F05B73B"/>
    <w:rsid w:val="0F3E9B6E"/>
    <w:rsid w:val="0F88CC24"/>
    <w:rsid w:val="0F937744"/>
    <w:rsid w:val="0F9E163B"/>
    <w:rsid w:val="102CAD07"/>
    <w:rsid w:val="1034695F"/>
    <w:rsid w:val="10610DF5"/>
    <w:rsid w:val="1082E90A"/>
    <w:rsid w:val="109A3111"/>
    <w:rsid w:val="10B44A6D"/>
    <w:rsid w:val="110B92EC"/>
    <w:rsid w:val="114583B7"/>
    <w:rsid w:val="115DEE4F"/>
    <w:rsid w:val="1162D3F8"/>
    <w:rsid w:val="11CAB037"/>
    <w:rsid w:val="121E2CF7"/>
    <w:rsid w:val="1220A852"/>
    <w:rsid w:val="12326C0D"/>
    <w:rsid w:val="124F6CCC"/>
    <w:rsid w:val="12B40C95"/>
    <w:rsid w:val="12E7606C"/>
    <w:rsid w:val="12F9BEB0"/>
    <w:rsid w:val="1398AEB7"/>
    <w:rsid w:val="13DAD197"/>
    <w:rsid w:val="13EEB66F"/>
    <w:rsid w:val="146F96D3"/>
    <w:rsid w:val="1479A4E0"/>
    <w:rsid w:val="14848424"/>
    <w:rsid w:val="149848D0"/>
    <w:rsid w:val="14B6D580"/>
    <w:rsid w:val="14C3B6BA"/>
    <w:rsid w:val="15152C7A"/>
    <w:rsid w:val="15A23D61"/>
    <w:rsid w:val="15BBAFD0"/>
    <w:rsid w:val="15EEB6DB"/>
    <w:rsid w:val="163AB4B8"/>
    <w:rsid w:val="1642D00E"/>
    <w:rsid w:val="165464CB"/>
    <w:rsid w:val="165E5905"/>
    <w:rsid w:val="16CF41E0"/>
    <w:rsid w:val="16D39383"/>
    <w:rsid w:val="16E4D4A1"/>
    <w:rsid w:val="16EBB4AB"/>
    <w:rsid w:val="1704262E"/>
    <w:rsid w:val="173A1095"/>
    <w:rsid w:val="175F343A"/>
    <w:rsid w:val="1779E744"/>
    <w:rsid w:val="1781F1A1"/>
    <w:rsid w:val="179F2DB5"/>
    <w:rsid w:val="17C05A87"/>
    <w:rsid w:val="17D3428C"/>
    <w:rsid w:val="18332468"/>
    <w:rsid w:val="185E4B7C"/>
    <w:rsid w:val="186C1FDA"/>
    <w:rsid w:val="18BCE35C"/>
    <w:rsid w:val="18E94E92"/>
    <w:rsid w:val="18F964ED"/>
    <w:rsid w:val="1943561F"/>
    <w:rsid w:val="19AF2934"/>
    <w:rsid w:val="19C03048"/>
    <w:rsid w:val="19D51EE6"/>
    <w:rsid w:val="1A1AAB37"/>
    <w:rsid w:val="1A3009CB"/>
    <w:rsid w:val="1A751F0C"/>
    <w:rsid w:val="1A885F0C"/>
    <w:rsid w:val="1AD4F255"/>
    <w:rsid w:val="1AF7FB49"/>
    <w:rsid w:val="1AFBEB25"/>
    <w:rsid w:val="1B00C46B"/>
    <w:rsid w:val="1B0FF246"/>
    <w:rsid w:val="1B2B2E79"/>
    <w:rsid w:val="1B34C36F"/>
    <w:rsid w:val="1B531F2E"/>
    <w:rsid w:val="1B676972"/>
    <w:rsid w:val="1B72017B"/>
    <w:rsid w:val="1B8D255C"/>
    <w:rsid w:val="1BC1301E"/>
    <w:rsid w:val="1BCC19B1"/>
    <w:rsid w:val="1BD2FA86"/>
    <w:rsid w:val="1C10CD1A"/>
    <w:rsid w:val="1C593496"/>
    <w:rsid w:val="1C83883F"/>
    <w:rsid w:val="1C98D024"/>
    <w:rsid w:val="1CD41F50"/>
    <w:rsid w:val="1D12B61D"/>
    <w:rsid w:val="1D7847EA"/>
    <w:rsid w:val="1DCE6343"/>
    <w:rsid w:val="1DE257D5"/>
    <w:rsid w:val="1DEA8A4D"/>
    <w:rsid w:val="1E1F6170"/>
    <w:rsid w:val="1E2F8B5D"/>
    <w:rsid w:val="1E3327C6"/>
    <w:rsid w:val="1E3D8C7A"/>
    <w:rsid w:val="1E8A4AE4"/>
    <w:rsid w:val="1E94CA95"/>
    <w:rsid w:val="1EDBC92F"/>
    <w:rsid w:val="1EE20619"/>
    <w:rsid w:val="1F388F51"/>
    <w:rsid w:val="1F70C600"/>
    <w:rsid w:val="1F94FC99"/>
    <w:rsid w:val="1FC74D62"/>
    <w:rsid w:val="203275AB"/>
    <w:rsid w:val="20645CE3"/>
    <w:rsid w:val="20ADD56B"/>
    <w:rsid w:val="20CD6F75"/>
    <w:rsid w:val="20F46077"/>
    <w:rsid w:val="20F5DD51"/>
    <w:rsid w:val="210AAED0"/>
    <w:rsid w:val="210ACE9E"/>
    <w:rsid w:val="211B1878"/>
    <w:rsid w:val="2122FE22"/>
    <w:rsid w:val="21B877AE"/>
    <w:rsid w:val="21E7C114"/>
    <w:rsid w:val="22067701"/>
    <w:rsid w:val="223D3E16"/>
    <w:rsid w:val="225AC094"/>
    <w:rsid w:val="226EC38C"/>
    <w:rsid w:val="22833085"/>
    <w:rsid w:val="22922CCF"/>
    <w:rsid w:val="22A58552"/>
    <w:rsid w:val="22B286CD"/>
    <w:rsid w:val="22BD83B4"/>
    <w:rsid w:val="22C19AEE"/>
    <w:rsid w:val="22E7B537"/>
    <w:rsid w:val="22FB33A1"/>
    <w:rsid w:val="2318DD09"/>
    <w:rsid w:val="231A58AF"/>
    <w:rsid w:val="231BA84F"/>
    <w:rsid w:val="2330F9BC"/>
    <w:rsid w:val="23455A0D"/>
    <w:rsid w:val="234AEA76"/>
    <w:rsid w:val="239BCB46"/>
    <w:rsid w:val="24207E87"/>
    <w:rsid w:val="244EC8DC"/>
    <w:rsid w:val="245383E0"/>
    <w:rsid w:val="24B3A061"/>
    <w:rsid w:val="25CCBCBB"/>
    <w:rsid w:val="25CE54D0"/>
    <w:rsid w:val="25FB5C17"/>
    <w:rsid w:val="2660AE20"/>
    <w:rsid w:val="269821D2"/>
    <w:rsid w:val="26A3A24F"/>
    <w:rsid w:val="26C7F890"/>
    <w:rsid w:val="26FE161F"/>
    <w:rsid w:val="27004957"/>
    <w:rsid w:val="2703512F"/>
    <w:rsid w:val="273B9FC2"/>
    <w:rsid w:val="274CCFED"/>
    <w:rsid w:val="27824D92"/>
    <w:rsid w:val="27956BC4"/>
    <w:rsid w:val="27972C78"/>
    <w:rsid w:val="27B67B0E"/>
    <w:rsid w:val="28426EC4"/>
    <w:rsid w:val="285A73AD"/>
    <w:rsid w:val="2865DA3E"/>
    <w:rsid w:val="286A58B0"/>
    <w:rsid w:val="28718AA0"/>
    <w:rsid w:val="28F790BC"/>
    <w:rsid w:val="293E963D"/>
    <w:rsid w:val="294BCF5D"/>
    <w:rsid w:val="2977FF42"/>
    <w:rsid w:val="29C51F19"/>
    <w:rsid w:val="2A0495AF"/>
    <w:rsid w:val="2A0D5B01"/>
    <w:rsid w:val="2A211058"/>
    <w:rsid w:val="2A3BA257"/>
    <w:rsid w:val="2AA37CF0"/>
    <w:rsid w:val="2AC9B14F"/>
    <w:rsid w:val="2AE0583B"/>
    <w:rsid w:val="2B152144"/>
    <w:rsid w:val="2B31BEDC"/>
    <w:rsid w:val="2B3B3E7B"/>
    <w:rsid w:val="2B6DD91B"/>
    <w:rsid w:val="2B75623C"/>
    <w:rsid w:val="2B929C02"/>
    <w:rsid w:val="2BBC3D2B"/>
    <w:rsid w:val="2BE1B9D0"/>
    <w:rsid w:val="2C17D9A4"/>
    <w:rsid w:val="2C241717"/>
    <w:rsid w:val="2C314604"/>
    <w:rsid w:val="2C3789F3"/>
    <w:rsid w:val="2C655F1B"/>
    <w:rsid w:val="2C6C4DF1"/>
    <w:rsid w:val="2C7F11BE"/>
    <w:rsid w:val="2CC5B0A8"/>
    <w:rsid w:val="2D44482F"/>
    <w:rsid w:val="2D7BBA34"/>
    <w:rsid w:val="2DC0EE9C"/>
    <w:rsid w:val="2DF7C1A5"/>
    <w:rsid w:val="2E094723"/>
    <w:rsid w:val="2E79E57A"/>
    <w:rsid w:val="2E81874A"/>
    <w:rsid w:val="2E877FB4"/>
    <w:rsid w:val="2EABB501"/>
    <w:rsid w:val="2EFD82DF"/>
    <w:rsid w:val="2F226D31"/>
    <w:rsid w:val="2FD19ECC"/>
    <w:rsid w:val="2FDFB35A"/>
    <w:rsid w:val="2FFD0262"/>
    <w:rsid w:val="300CFB2F"/>
    <w:rsid w:val="3013A0E0"/>
    <w:rsid w:val="304D96C5"/>
    <w:rsid w:val="30A53DB8"/>
    <w:rsid w:val="30C3C045"/>
    <w:rsid w:val="30C49BCB"/>
    <w:rsid w:val="31300202"/>
    <w:rsid w:val="313BC5B1"/>
    <w:rsid w:val="31444646"/>
    <w:rsid w:val="3157371B"/>
    <w:rsid w:val="31B957D2"/>
    <w:rsid w:val="31FBA0CC"/>
    <w:rsid w:val="320DF90C"/>
    <w:rsid w:val="321D3302"/>
    <w:rsid w:val="322BFEB6"/>
    <w:rsid w:val="325B26A7"/>
    <w:rsid w:val="3272363E"/>
    <w:rsid w:val="3273766C"/>
    <w:rsid w:val="32799B4F"/>
    <w:rsid w:val="32BC3DCB"/>
    <w:rsid w:val="32D2015F"/>
    <w:rsid w:val="32EA9823"/>
    <w:rsid w:val="32EE90EA"/>
    <w:rsid w:val="32FED6D3"/>
    <w:rsid w:val="33924DAB"/>
    <w:rsid w:val="33B41475"/>
    <w:rsid w:val="33C74F10"/>
    <w:rsid w:val="33F39E94"/>
    <w:rsid w:val="3407D49F"/>
    <w:rsid w:val="342B5AB5"/>
    <w:rsid w:val="34403A82"/>
    <w:rsid w:val="34D93729"/>
    <w:rsid w:val="356927DC"/>
    <w:rsid w:val="358F9BEF"/>
    <w:rsid w:val="35967561"/>
    <w:rsid w:val="360DF2D6"/>
    <w:rsid w:val="3650BB46"/>
    <w:rsid w:val="365B1377"/>
    <w:rsid w:val="36A3EB3B"/>
    <w:rsid w:val="36A8ACC6"/>
    <w:rsid w:val="36B11FBD"/>
    <w:rsid w:val="36D6561F"/>
    <w:rsid w:val="3704044E"/>
    <w:rsid w:val="3733DD4F"/>
    <w:rsid w:val="37499680"/>
    <w:rsid w:val="375EA193"/>
    <w:rsid w:val="3797010C"/>
    <w:rsid w:val="3799A811"/>
    <w:rsid w:val="37A99AA7"/>
    <w:rsid w:val="37B68419"/>
    <w:rsid w:val="37F2581D"/>
    <w:rsid w:val="37FC4091"/>
    <w:rsid w:val="380C5E3A"/>
    <w:rsid w:val="3830C1D0"/>
    <w:rsid w:val="388CF33F"/>
    <w:rsid w:val="38E0B1CF"/>
    <w:rsid w:val="38EED8A1"/>
    <w:rsid w:val="3931CE77"/>
    <w:rsid w:val="3939AA78"/>
    <w:rsid w:val="395130C2"/>
    <w:rsid w:val="3979A6BF"/>
    <w:rsid w:val="398E4CBF"/>
    <w:rsid w:val="39B2E239"/>
    <w:rsid w:val="3A13E14B"/>
    <w:rsid w:val="3AAD0EF5"/>
    <w:rsid w:val="3AB17BA3"/>
    <w:rsid w:val="3AB4D71E"/>
    <w:rsid w:val="3AF5AA08"/>
    <w:rsid w:val="3AF5F187"/>
    <w:rsid w:val="3AFE1961"/>
    <w:rsid w:val="3B0E2976"/>
    <w:rsid w:val="3B36E8AB"/>
    <w:rsid w:val="3B901DC5"/>
    <w:rsid w:val="3BB1DC08"/>
    <w:rsid w:val="3BB8860A"/>
    <w:rsid w:val="3BC237E3"/>
    <w:rsid w:val="3BCDE366"/>
    <w:rsid w:val="3BEAB2A3"/>
    <w:rsid w:val="3BF01862"/>
    <w:rsid w:val="3BF5CF30"/>
    <w:rsid w:val="3C10DEC7"/>
    <w:rsid w:val="3C37F4ED"/>
    <w:rsid w:val="3C599956"/>
    <w:rsid w:val="3C6917D6"/>
    <w:rsid w:val="3C9F494D"/>
    <w:rsid w:val="3CA779D9"/>
    <w:rsid w:val="3CFDBC66"/>
    <w:rsid w:val="3D020280"/>
    <w:rsid w:val="3D050598"/>
    <w:rsid w:val="3D255998"/>
    <w:rsid w:val="3D442FE8"/>
    <w:rsid w:val="3D50439C"/>
    <w:rsid w:val="3D84D9B0"/>
    <w:rsid w:val="3D9EBC43"/>
    <w:rsid w:val="3DA32DDE"/>
    <w:rsid w:val="3DD33DD4"/>
    <w:rsid w:val="3DFFDC5E"/>
    <w:rsid w:val="3E0F79C7"/>
    <w:rsid w:val="3E4D17E2"/>
    <w:rsid w:val="3E75B2A3"/>
    <w:rsid w:val="3E773824"/>
    <w:rsid w:val="3E7CEFC4"/>
    <w:rsid w:val="3E800E94"/>
    <w:rsid w:val="3E8C0E21"/>
    <w:rsid w:val="3E90838D"/>
    <w:rsid w:val="3EE0EA0F"/>
    <w:rsid w:val="3F6FDF33"/>
    <w:rsid w:val="3F895696"/>
    <w:rsid w:val="3FE8E843"/>
    <w:rsid w:val="40144677"/>
    <w:rsid w:val="40289A36"/>
    <w:rsid w:val="40A19A15"/>
    <w:rsid w:val="40F54520"/>
    <w:rsid w:val="41103866"/>
    <w:rsid w:val="411E8794"/>
    <w:rsid w:val="41E9C6D5"/>
    <w:rsid w:val="4211F724"/>
    <w:rsid w:val="42212CAB"/>
    <w:rsid w:val="4276E15C"/>
    <w:rsid w:val="42837E4D"/>
    <w:rsid w:val="4290F168"/>
    <w:rsid w:val="429F8660"/>
    <w:rsid w:val="42B75AF8"/>
    <w:rsid w:val="42D34D81"/>
    <w:rsid w:val="42F6FFB8"/>
    <w:rsid w:val="42F92F4D"/>
    <w:rsid w:val="42FA458D"/>
    <w:rsid w:val="43221951"/>
    <w:rsid w:val="439882E8"/>
    <w:rsid w:val="43A8ED4B"/>
    <w:rsid w:val="43C94390"/>
    <w:rsid w:val="43DC701C"/>
    <w:rsid w:val="43FA6FD1"/>
    <w:rsid w:val="442A183A"/>
    <w:rsid w:val="4488740A"/>
    <w:rsid w:val="44FFC511"/>
    <w:rsid w:val="450CBAB3"/>
    <w:rsid w:val="4518406B"/>
    <w:rsid w:val="45394169"/>
    <w:rsid w:val="45858B5D"/>
    <w:rsid w:val="458C515D"/>
    <w:rsid w:val="4636DD81"/>
    <w:rsid w:val="463F759C"/>
    <w:rsid w:val="46705F7B"/>
    <w:rsid w:val="4703D8C5"/>
    <w:rsid w:val="472C2B6C"/>
    <w:rsid w:val="476E90C3"/>
    <w:rsid w:val="478FE1EF"/>
    <w:rsid w:val="47E01E81"/>
    <w:rsid w:val="47E23122"/>
    <w:rsid w:val="47F27332"/>
    <w:rsid w:val="47F8F7ED"/>
    <w:rsid w:val="4811D37D"/>
    <w:rsid w:val="481DD318"/>
    <w:rsid w:val="48DE0112"/>
    <w:rsid w:val="48EDBF00"/>
    <w:rsid w:val="48F83F2F"/>
    <w:rsid w:val="4920EA72"/>
    <w:rsid w:val="49518C97"/>
    <w:rsid w:val="49614AFE"/>
    <w:rsid w:val="49786CCA"/>
    <w:rsid w:val="498B7E93"/>
    <w:rsid w:val="4A1895CF"/>
    <w:rsid w:val="4A29E690"/>
    <w:rsid w:val="4A3F205A"/>
    <w:rsid w:val="4A898F61"/>
    <w:rsid w:val="4A8F0EF3"/>
    <w:rsid w:val="4AA92079"/>
    <w:rsid w:val="4AC782B1"/>
    <w:rsid w:val="4AE2AF86"/>
    <w:rsid w:val="4AE3F75F"/>
    <w:rsid w:val="4B27B2E3"/>
    <w:rsid w:val="4B391D53"/>
    <w:rsid w:val="4B48938E"/>
    <w:rsid w:val="4BCA6C4C"/>
    <w:rsid w:val="4BE93B82"/>
    <w:rsid w:val="4BF6C547"/>
    <w:rsid w:val="4C18E771"/>
    <w:rsid w:val="4C8C65B4"/>
    <w:rsid w:val="4CA78B15"/>
    <w:rsid w:val="4CBE59F8"/>
    <w:rsid w:val="4D2CBA71"/>
    <w:rsid w:val="4D42EAFA"/>
    <w:rsid w:val="4D6DF2BA"/>
    <w:rsid w:val="4DC13023"/>
    <w:rsid w:val="4DC82358"/>
    <w:rsid w:val="4DCDBCED"/>
    <w:rsid w:val="4E03768F"/>
    <w:rsid w:val="4E771136"/>
    <w:rsid w:val="4E8CC69A"/>
    <w:rsid w:val="4EC8345A"/>
    <w:rsid w:val="4F17B12D"/>
    <w:rsid w:val="4F49BA99"/>
    <w:rsid w:val="4F4A41B4"/>
    <w:rsid w:val="4F74F98A"/>
    <w:rsid w:val="4F770165"/>
    <w:rsid w:val="4F7D5571"/>
    <w:rsid w:val="4F91977F"/>
    <w:rsid w:val="4FA76822"/>
    <w:rsid w:val="4FF1426A"/>
    <w:rsid w:val="5034506C"/>
    <w:rsid w:val="5042FB69"/>
    <w:rsid w:val="508DE306"/>
    <w:rsid w:val="509F141A"/>
    <w:rsid w:val="51318D16"/>
    <w:rsid w:val="514E9E00"/>
    <w:rsid w:val="51558E70"/>
    <w:rsid w:val="5173E506"/>
    <w:rsid w:val="51E108B2"/>
    <w:rsid w:val="51EA0B6A"/>
    <w:rsid w:val="51ED2111"/>
    <w:rsid w:val="528EA0D7"/>
    <w:rsid w:val="52BE1172"/>
    <w:rsid w:val="52DBBFD7"/>
    <w:rsid w:val="52EA8D66"/>
    <w:rsid w:val="52FCF865"/>
    <w:rsid w:val="531ECD3D"/>
    <w:rsid w:val="5338B3DB"/>
    <w:rsid w:val="536DC6C1"/>
    <w:rsid w:val="538BD07F"/>
    <w:rsid w:val="550F708A"/>
    <w:rsid w:val="5513160A"/>
    <w:rsid w:val="557B9455"/>
    <w:rsid w:val="5585DA99"/>
    <w:rsid w:val="55ACB371"/>
    <w:rsid w:val="55AF2EA7"/>
    <w:rsid w:val="55F32B1B"/>
    <w:rsid w:val="5660BD37"/>
    <w:rsid w:val="567DACE5"/>
    <w:rsid w:val="56C050BD"/>
    <w:rsid w:val="56F12CF2"/>
    <w:rsid w:val="5707C788"/>
    <w:rsid w:val="57310242"/>
    <w:rsid w:val="574E6ED8"/>
    <w:rsid w:val="57563A2D"/>
    <w:rsid w:val="576C2A75"/>
    <w:rsid w:val="57834133"/>
    <w:rsid w:val="57861446"/>
    <w:rsid w:val="57870EA8"/>
    <w:rsid w:val="579C0CA3"/>
    <w:rsid w:val="57D93B1C"/>
    <w:rsid w:val="57EB5F1B"/>
    <w:rsid w:val="580C2EFA"/>
    <w:rsid w:val="583D9A58"/>
    <w:rsid w:val="5898D2C7"/>
    <w:rsid w:val="58C4699D"/>
    <w:rsid w:val="58D390B8"/>
    <w:rsid w:val="58D4EEFC"/>
    <w:rsid w:val="58DE9416"/>
    <w:rsid w:val="58F0C25D"/>
    <w:rsid w:val="593C090B"/>
    <w:rsid w:val="5963055D"/>
    <w:rsid w:val="5982AB28"/>
    <w:rsid w:val="59AE6D27"/>
    <w:rsid w:val="59B383A9"/>
    <w:rsid w:val="59BA28A3"/>
    <w:rsid w:val="59F53011"/>
    <w:rsid w:val="5A135A57"/>
    <w:rsid w:val="5A551170"/>
    <w:rsid w:val="5A617488"/>
    <w:rsid w:val="5A6EE56E"/>
    <w:rsid w:val="5A88AC9D"/>
    <w:rsid w:val="5A9D36E6"/>
    <w:rsid w:val="5AC26FCB"/>
    <w:rsid w:val="5AC423DC"/>
    <w:rsid w:val="5AC8CA9C"/>
    <w:rsid w:val="5AD309A1"/>
    <w:rsid w:val="5AD6FDBC"/>
    <w:rsid w:val="5AE1501B"/>
    <w:rsid w:val="5AFB9F4D"/>
    <w:rsid w:val="5B226CEC"/>
    <w:rsid w:val="5B5D51BC"/>
    <w:rsid w:val="5B69E612"/>
    <w:rsid w:val="5B774D4B"/>
    <w:rsid w:val="5B7C8574"/>
    <w:rsid w:val="5BA09C4D"/>
    <w:rsid w:val="5BAD8F37"/>
    <w:rsid w:val="5BC2BC14"/>
    <w:rsid w:val="5C19A431"/>
    <w:rsid w:val="5C2A7BEC"/>
    <w:rsid w:val="5C390747"/>
    <w:rsid w:val="5C3F54BE"/>
    <w:rsid w:val="5C533A35"/>
    <w:rsid w:val="5C56DE9B"/>
    <w:rsid w:val="5C5FC4F5"/>
    <w:rsid w:val="5C7D207C"/>
    <w:rsid w:val="5CA04D56"/>
    <w:rsid w:val="5CB0A7E5"/>
    <w:rsid w:val="5CC50B9D"/>
    <w:rsid w:val="5CD7B861"/>
    <w:rsid w:val="5CDE7DA2"/>
    <w:rsid w:val="5CE130A5"/>
    <w:rsid w:val="5D411359"/>
    <w:rsid w:val="5D4A00BF"/>
    <w:rsid w:val="5D80AE60"/>
    <w:rsid w:val="5D946A3A"/>
    <w:rsid w:val="5D99BEB0"/>
    <w:rsid w:val="5DA04A19"/>
    <w:rsid w:val="5E075768"/>
    <w:rsid w:val="5E1D34C3"/>
    <w:rsid w:val="5E72CD4C"/>
    <w:rsid w:val="5E79B645"/>
    <w:rsid w:val="5EBA39BC"/>
    <w:rsid w:val="5ED43820"/>
    <w:rsid w:val="5F075DE2"/>
    <w:rsid w:val="5F1DE198"/>
    <w:rsid w:val="5F2383B6"/>
    <w:rsid w:val="5F64D634"/>
    <w:rsid w:val="5F70A809"/>
    <w:rsid w:val="5FF001CA"/>
    <w:rsid w:val="5FF4557E"/>
    <w:rsid w:val="5FFB1E2D"/>
    <w:rsid w:val="60071036"/>
    <w:rsid w:val="604DBEE4"/>
    <w:rsid w:val="606227A9"/>
    <w:rsid w:val="60ACAF8B"/>
    <w:rsid w:val="610F9C52"/>
    <w:rsid w:val="61370564"/>
    <w:rsid w:val="61599D4E"/>
    <w:rsid w:val="616DEA56"/>
    <w:rsid w:val="61BDC5CD"/>
    <w:rsid w:val="61C06E83"/>
    <w:rsid w:val="61D461E8"/>
    <w:rsid w:val="621F8788"/>
    <w:rsid w:val="62236675"/>
    <w:rsid w:val="62292BD4"/>
    <w:rsid w:val="62487FEC"/>
    <w:rsid w:val="62691AFA"/>
    <w:rsid w:val="62862F7D"/>
    <w:rsid w:val="628ACD25"/>
    <w:rsid w:val="62D29BF0"/>
    <w:rsid w:val="62EACEAC"/>
    <w:rsid w:val="62F8E74D"/>
    <w:rsid w:val="6305B6D3"/>
    <w:rsid w:val="63313A9C"/>
    <w:rsid w:val="6336401E"/>
    <w:rsid w:val="633E0507"/>
    <w:rsid w:val="635B0832"/>
    <w:rsid w:val="637FE477"/>
    <w:rsid w:val="6392E645"/>
    <w:rsid w:val="640F8B9D"/>
    <w:rsid w:val="641D8666"/>
    <w:rsid w:val="643A2F30"/>
    <w:rsid w:val="64468D4A"/>
    <w:rsid w:val="645F4839"/>
    <w:rsid w:val="64A5E2B2"/>
    <w:rsid w:val="64A5E3CE"/>
    <w:rsid w:val="64DBAD44"/>
    <w:rsid w:val="64F6E519"/>
    <w:rsid w:val="6572420A"/>
    <w:rsid w:val="65A83660"/>
    <w:rsid w:val="65BE2965"/>
    <w:rsid w:val="66106002"/>
    <w:rsid w:val="66451FCB"/>
    <w:rsid w:val="66461B29"/>
    <w:rsid w:val="665CB268"/>
    <w:rsid w:val="6669B47A"/>
    <w:rsid w:val="667D77E4"/>
    <w:rsid w:val="66ECC6F3"/>
    <w:rsid w:val="66FA2C29"/>
    <w:rsid w:val="670EC67C"/>
    <w:rsid w:val="674124DA"/>
    <w:rsid w:val="677BF0C7"/>
    <w:rsid w:val="678559CD"/>
    <w:rsid w:val="678A90B2"/>
    <w:rsid w:val="678FFD98"/>
    <w:rsid w:val="679E2F60"/>
    <w:rsid w:val="67C4952C"/>
    <w:rsid w:val="67D52DD7"/>
    <w:rsid w:val="6800BE83"/>
    <w:rsid w:val="6815317A"/>
    <w:rsid w:val="683C66B3"/>
    <w:rsid w:val="68A73274"/>
    <w:rsid w:val="68B58E54"/>
    <w:rsid w:val="6902C9D8"/>
    <w:rsid w:val="691F6F4C"/>
    <w:rsid w:val="692C92DD"/>
    <w:rsid w:val="692D1BF4"/>
    <w:rsid w:val="69413406"/>
    <w:rsid w:val="69464ED3"/>
    <w:rsid w:val="696A9A44"/>
    <w:rsid w:val="69A98760"/>
    <w:rsid w:val="69B947D2"/>
    <w:rsid w:val="69BC5E94"/>
    <w:rsid w:val="6A9A2E32"/>
    <w:rsid w:val="6AA06A17"/>
    <w:rsid w:val="6AA079C7"/>
    <w:rsid w:val="6AB0E7C0"/>
    <w:rsid w:val="6AEDEB39"/>
    <w:rsid w:val="6AF08013"/>
    <w:rsid w:val="6B3C9C5A"/>
    <w:rsid w:val="6B3E0D9E"/>
    <w:rsid w:val="6B425BB1"/>
    <w:rsid w:val="6B7537FB"/>
    <w:rsid w:val="6B83574A"/>
    <w:rsid w:val="6BB57C47"/>
    <w:rsid w:val="6BC54A75"/>
    <w:rsid w:val="6C065A0F"/>
    <w:rsid w:val="6C6670B3"/>
    <w:rsid w:val="6C682B2A"/>
    <w:rsid w:val="6C715070"/>
    <w:rsid w:val="6C922EB2"/>
    <w:rsid w:val="6C9AE169"/>
    <w:rsid w:val="6CA1AD5B"/>
    <w:rsid w:val="6CB5D27D"/>
    <w:rsid w:val="6CBA6167"/>
    <w:rsid w:val="6CC12C2A"/>
    <w:rsid w:val="6D003674"/>
    <w:rsid w:val="6D0E6075"/>
    <w:rsid w:val="6D1FA60B"/>
    <w:rsid w:val="6D294181"/>
    <w:rsid w:val="6D3E967E"/>
    <w:rsid w:val="6D8D42A1"/>
    <w:rsid w:val="6E00C2A2"/>
    <w:rsid w:val="6E99D541"/>
    <w:rsid w:val="6EBDFF70"/>
    <w:rsid w:val="6EBF8C29"/>
    <w:rsid w:val="6F0243E7"/>
    <w:rsid w:val="6F0DA28D"/>
    <w:rsid w:val="6F0E2C73"/>
    <w:rsid w:val="6F27CF71"/>
    <w:rsid w:val="6F4D2ADB"/>
    <w:rsid w:val="6F9736FC"/>
    <w:rsid w:val="700281CF"/>
    <w:rsid w:val="70347F6B"/>
    <w:rsid w:val="707D56A1"/>
    <w:rsid w:val="708C9ED5"/>
    <w:rsid w:val="708CE30F"/>
    <w:rsid w:val="70983986"/>
    <w:rsid w:val="70A57F9E"/>
    <w:rsid w:val="71184A9B"/>
    <w:rsid w:val="711ED9DE"/>
    <w:rsid w:val="713135BE"/>
    <w:rsid w:val="7164D884"/>
    <w:rsid w:val="716B3D5D"/>
    <w:rsid w:val="71CE05AB"/>
    <w:rsid w:val="71DDD3B4"/>
    <w:rsid w:val="7200B4E0"/>
    <w:rsid w:val="72209FAA"/>
    <w:rsid w:val="72414FFF"/>
    <w:rsid w:val="725325FD"/>
    <w:rsid w:val="725F0050"/>
    <w:rsid w:val="7274A866"/>
    <w:rsid w:val="72790CF7"/>
    <w:rsid w:val="72792602"/>
    <w:rsid w:val="728DC2C4"/>
    <w:rsid w:val="72B1D6F5"/>
    <w:rsid w:val="72B32E52"/>
    <w:rsid w:val="730F4E0B"/>
    <w:rsid w:val="731CE16F"/>
    <w:rsid w:val="73555B1C"/>
    <w:rsid w:val="735A0F7B"/>
    <w:rsid w:val="73768E9D"/>
    <w:rsid w:val="73B11F58"/>
    <w:rsid w:val="73BD9A75"/>
    <w:rsid w:val="73D498ED"/>
    <w:rsid w:val="73DFBDB6"/>
    <w:rsid w:val="73EA9A7A"/>
    <w:rsid w:val="73FF0408"/>
    <w:rsid w:val="740ED193"/>
    <w:rsid w:val="744403DA"/>
    <w:rsid w:val="74A766A3"/>
    <w:rsid w:val="74BBBE14"/>
    <w:rsid w:val="74BFA766"/>
    <w:rsid w:val="74D11A00"/>
    <w:rsid w:val="75795F99"/>
    <w:rsid w:val="75AA0D81"/>
    <w:rsid w:val="75AD98DD"/>
    <w:rsid w:val="75F98294"/>
    <w:rsid w:val="7602E6ED"/>
    <w:rsid w:val="760547C7"/>
    <w:rsid w:val="760C95B5"/>
    <w:rsid w:val="7631AE2D"/>
    <w:rsid w:val="76386B72"/>
    <w:rsid w:val="768F33CD"/>
    <w:rsid w:val="76B9EE79"/>
    <w:rsid w:val="76C442AA"/>
    <w:rsid w:val="76FEBB17"/>
    <w:rsid w:val="7726046D"/>
    <w:rsid w:val="7755C40F"/>
    <w:rsid w:val="776EBE17"/>
    <w:rsid w:val="7793CDB7"/>
    <w:rsid w:val="7817FFD9"/>
    <w:rsid w:val="781C0D94"/>
    <w:rsid w:val="78212CE4"/>
    <w:rsid w:val="78271666"/>
    <w:rsid w:val="7881487D"/>
    <w:rsid w:val="78959294"/>
    <w:rsid w:val="78CD7686"/>
    <w:rsid w:val="78CD933D"/>
    <w:rsid w:val="78E0D623"/>
    <w:rsid w:val="790AFAA5"/>
    <w:rsid w:val="7914BEAB"/>
    <w:rsid w:val="7938B712"/>
    <w:rsid w:val="79451BF0"/>
    <w:rsid w:val="796AC72D"/>
    <w:rsid w:val="7974D96D"/>
    <w:rsid w:val="79C935BC"/>
    <w:rsid w:val="7A07348B"/>
    <w:rsid w:val="7A0E87F7"/>
    <w:rsid w:val="7A145D79"/>
    <w:rsid w:val="7A9438FA"/>
    <w:rsid w:val="7AB690D0"/>
    <w:rsid w:val="7B46C270"/>
    <w:rsid w:val="7B8AA651"/>
    <w:rsid w:val="7BFA4E0D"/>
    <w:rsid w:val="7C3614B4"/>
    <w:rsid w:val="7C599444"/>
    <w:rsid w:val="7CC77710"/>
    <w:rsid w:val="7CC8CF43"/>
    <w:rsid w:val="7CCAADD4"/>
    <w:rsid w:val="7CD4F27D"/>
    <w:rsid w:val="7CD6095C"/>
    <w:rsid w:val="7CDE0CAC"/>
    <w:rsid w:val="7D026BEC"/>
    <w:rsid w:val="7DF449F2"/>
    <w:rsid w:val="7E50C45D"/>
    <w:rsid w:val="7EB76DA3"/>
    <w:rsid w:val="7EE1B298"/>
    <w:rsid w:val="7F137207"/>
    <w:rsid w:val="7F2BEBE7"/>
    <w:rsid w:val="7F370DC8"/>
    <w:rsid w:val="7F55D218"/>
    <w:rsid w:val="7F567144"/>
    <w:rsid w:val="7FE610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1B0901"/>
  <w15:docId w15:val="{B2581AD5-3D20-4391-8DED-BD98E19DDB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4947"/>
    <w:pPr>
      <w:spacing w:after="160" w:line="259" w:lineRule="auto"/>
    </w:pPr>
    <w:rPr>
      <w:rFonts w:asciiTheme="minorHAnsi" w:hAnsiTheme="minorHAnsi" w:eastAsiaTheme="minorHAnsi" w:cstheme="minorBidi"/>
      <w:sz w:val="22"/>
      <w:szCs w:val="22"/>
      <w:lang w:eastAsia="en-US"/>
    </w:rPr>
  </w:style>
  <w:style w:type="paragraph" w:styleId="Heading1">
    <w:name w:val="heading 1"/>
    <w:next w:val="Body"/>
    <w:link w:val="Heading1Char"/>
    <w:uiPriority w:val="1"/>
    <w:qFormat/>
    <w:rsid w:val="00EC6960"/>
    <w:pPr>
      <w:keepNext/>
      <w:keepLines/>
      <w:numPr>
        <w:numId w:val="11"/>
      </w:numPr>
      <w:spacing w:before="320" w:after="200" w:line="440" w:lineRule="atLeast"/>
      <w:ind w:left="567" w:hanging="567"/>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3F5FCD"/>
    <w:pPr>
      <w:keepNext/>
      <w:keepLines/>
      <w:spacing w:before="320" w:after="160" w:line="40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CE1F0E"/>
    <w:pPr>
      <w:keepNext/>
      <w:keepLines/>
      <w:spacing w:before="280" w:after="200" w:line="320" w:lineRule="atLeast"/>
      <w:outlineLvl w:val="2"/>
    </w:pPr>
    <w:rPr>
      <w:rFonts w:ascii="Arial" w:hAnsi="Arial" w:eastAsia="MS Gothic"/>
      <w:bCs/>
      <w:color w:val="201547"/>
      <w:sz w:val="32"/>
      <w:szCs w:val="32"/>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BE7F8C"/>
    <w:pPr>
      <w:spacing w:after="160" w:line="320" w:lineRule="atLeast"/>
    </w:pPr>
    <w:rPr>
      <w:rFonts w:ascii="Arial" w:hAnsi="Arial" w:eastAsia="Times"/>
      <w:sz w:val="24"/>
      <w:lang w:eastAsia="en-US"/>
    </w:rPr>
  </w:style>
  <w:style w:type="character" w:styleId="Heading1Char" w:customStyle="1">
    <w:name w:val="Heading 1 Char"/>
    <w:link w:val="Heading1"/>
    <w:uiPriority w:val="1"/>
    <w:rsid w:val="00EC6960"/>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3F5FCD"/>
    <w:rPr>
      <w:rFonts w:ascii="Arial" w:hAnsi="Arial"/>
      <w:b/>
      <w:color w:val="201547"/>
      <w:sz w:val="36"/>
      <w:szCs w:val="28"/>
      <w:lang w:eastAsia="en-US"/>
    </w:rPr>
  </w:style>
  <w:style w:type="character" w:styleId="Heading3Char" w:customStyle="1">
    <w:name w:val="Heading 3 Char"/>
    <w:link w:val="Heading3"/>
    <w:uiPriority w:val="1"/>
    <w:rsid w:val="00CE1F0E"/>
    <w:rPr>
      <w:rFonts w:ascii="Arial" w:hAnsi="Arial" w:eastAsia="MS Gothic"/>
      <w:bCs/>
      <w:color w:val="201547"/>
      <w:sz w:val="32"/>
      <w:szCs w:val="32"/>
      <w:lang w:eastAsia="en-US"/>
    </w:rPr>
  </w:style>
  <w:style w:type="character" w:styleId="Heading4Char" w:customStyle="1">
    <w:name w:val="Heading 4 Char"/>
    <w:link w:val="Heading4"/>
    <w:uiPriority w:val="1"/>
    <w:rsid w:val="00ED7762"/>
    <w:rPr>
      <w:rFonts w:ascii="Arial" w:hAnsi="Arial" w:eastAsia="MS Mincho"/>
      <w:b/>
      <w:bCs/>
      <w:color w:val="201547"/>
      <w:sz w:val="24"/>
      <w:szCs w:val="22"/>
      <w:lang w:eastAsia="en-US"/>
    </w:rPr>
  </w:style>
  <w:style w:type="paragraph" w:styleId="Header">
    <w:name w:val="header"/>
    <w:uiPriority w:val="10"/>
    <w:rsid w:val="00896266"/>
    <w:rPr>
      <w:rFonts w:ascii="Arial" w:hAnsi="Arial" w:cs="Arial"/>
      <w:b/>
      <w:color w:val="201547"/>
      <w:sz w:val="22"/>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7178E8"/>
    <w:pPr>
      <w:numPr>
        <w:numId w:val="8"/>
      </w:numPr>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C64AB7"/>
    <w:pPr>
      <w:keepLines/>
      <w:tabs>
        <w:tab w:val="right" w:leader="dot" w:pos="10206"/>
      </w:tabs>
      <w:spacing w:before="200" w:after="100" w:line="320" w:lineRule="atLeast"/>
    </w:pPr>
    <w:rPr>
      <w:rFonts w:ascii="Arial" w:hAnsi="Arial"/>
      <w:b/>
      <w:noProof/>
      <w:sz w:val="24"/>
    </w:rPr>
  </w:style>
  <w:style w:type="character" w:styleId="Heading5Char" w:customStyle="1">
    <w:name w:val="Heading 5 Char"/>
    <w:link w:val="Heading5"/>
    <w:uiPriority w:val="98"/>
    <w:rsid w:val="00ED7762"/>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C64AB7"/>
    <w:pPr>
      <w:keepLines/>
      <w:tabs>
        <w:tab w:val="right" w:leader="dot" w:pos="10206"/>
      </w:tabs>
      <w:spacing w:after="100" w:line="320" w:lineRule="atLeast"/>
    </w:pPr>
    <w:rPr>
      <w:rFonts w:ascii="Arial" w:hAnsi="Arial"/>
      <w:noProof/>
      <w:sz w:val="24"/>
    </w:rPr>
  </w:style>
  <w:style w:type="paragraph" w:styleId="TOC3">
    <w:name w:val="toc 3"/>
    <w:basedOn w:val="Normal"/>
    <w:next w:val="Normal"/>
    <w:uiPriority w:val="39"/>
    <w:rsid w:val="00E10D8C"/>
    <w:pPr>
      <w:keepLines/>
      <w:tabs>
        <w:tab w:val="right" w:leader="dot" w:pos="10206"/>
      </w:tabs>
      <w:spacing w:after="60"/>
      <w:ind w:left="709"/>
    </w:pPr>
    <w:rPr>
      <w:rFonts w:ascii="Arial" w:hAnsi="Arial" w:cs="Arial"/>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BE7F8C"/>
    <w:pPr>
      <w:spacing w:before="120" w:after="160"/>
    </w:pPr>
    <w:rPr>
      <w:rFonts w:ascii="Arial" w:hAnsi="Arial"/>
      <w:sz w:val="24"/>
      <w:lang w:eastAsia="en-US"/>
    </w:rPr>
  </w:style>
  <w:style w:type="paragraph" w:styleId="Tablecaption" w:customStyle="1">
    <w:name w:val="Table caption"/>
    <w:next w:val="Body"/>
    <w:uiPriority w:val="3"/>
    <w:qFormat/>
    <w:rsid w:val="00BE7F8C"/>
    <w:pPr>
      <w:keepNext/>
      <w:keepLines/>
      <w:spacing w:before="280" w:after="160" w:line="280" w:lineRule="atLeast"/>
    </w:pPr>
    <w:rPr>
      <w:rFonts w:ascii="Arial" w:hAnsi="Arial"/>
      <w:b/>
      <w:sz w:val="24"/>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5A3474"/>
    <w:pPr>
      <w:numPr>
        <w:ilvl w:val="1"/>
        <w:numId w:val="1"/>
      </w:numPr>
      <w:spacing w:after="40"/>
      <w:ind w:left="709"/>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2"/>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2"/>
      </w:numPr>
    </w:pPr>
  </w:style>
  <w:style w:type="numbering" w:styleId="ZZTablebullets" w:customStyle="1">
    <w:name w:val="ZZ Table bullets"/>
    <w:basedOn w:val="NoList"/>
    <w:rsid w:val="00C60411"/>
    <w:pPr>
      <w:numPr>
        <w:numId w:val="2"/>
      </w:numPr>
    </w:pPr>
  </w:style>
  <w:style w:type="paragraph" w:styleId="Tablecolhead" w:customStyle="1">
    <w:name w:val="Table col head"/>
    <w:uiPriority w:val="3"/>
    <w:qFormat/>
    <w:rsid w:val="00BE7F8C"/>
    <w:pPr>
      <w:spacing w:before="80" w:after="60"/>
    </w:pPr>
    <w:rPr>
      <w:rFonts w:ascii="Arial" w:hAnsi="Arial"/>
      <w:b/>
      <w:color w:val="201547"/>
      <w:sz w:val="24"/>
      <w:lang w:eastAsia="en-US"/>
    </w:rPr>
  </w:style>
  <w:style w:type="paragraph" w:styleId="Bulletafternumbers1" w:customStyle="1">
    <w:name w:val="Bullet after numbers 1"/>
    <w:basedOn w:val="Body"/>
    <w:uiPriority w:val="4"/>
    <w:rsid w:val="003D7E30"/>
    <w:pPr>
      <w:numPr>
        <w:ilvl w:val="2"/>
        <w:numId w:val="7"/>
      </w:numPr>
      <w:ind w:left="794" w:hanging="397"/>
    </w:pPr>
  </w:style>
  <w:style w:type="character" w:styleId="Hyperlink">
    <w:name w:val="Hyperlink"/>
    <w:uiPriority w:val="99"/>
    <w:rsid w:val="000C7A62"/>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5D5FB1"/>
    <w:pPr>
      <w:spacing w:before="100" w:after="100" w:line="260" w:lineRule="atLeast"/>
    </w:pPr>
    <w:rPr>
      <w:rFonts w:ascii="Arial" w:hAnsi="Arial" w:eastAsia="MS Gothic" w:cs="Arial"/>
      <w:szCs w:val="16"/>
    </w:rPr>
  </w:style>
  <w:style w:type="character" w:styleId="FootnoteTextChar" w:customStyle="1">
    <w:name w:val="Footnote Text Char"/>
    <w:link w:val="FootnoteText"/>
    <w:uiPriority w:val="8"/>
    <w:rsid w:val="005D5FB1"/>
    <w:rPr>
      <w:rFonts w:ascii="Arial" w:hAnsi="Arial" w:eastAsia="MS Gothic" w:cs="Arial"/>
      <w:sz w:val="22"/>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1"/>
      </w:numPr>
    </w:pPr>
  </w:style>
  <w:style w:type="numbering" w:styleId="ZZNumbersdigit" w:customStyle="1">
    <w:name w:val="ZZ Numbers digit"/>
    <w:rsid w:val="00C60411"/>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3D7E30"/>
    <w:pPr>
      <w:numPr>
        <w:numId w:val="7"/>
      </w:numPr>
      <w:ind w:left="720" w:hanging="360"/>
    </w:pPr>
  </w:style>
  <w:style w:type="paragraph" w:styleId="Numberloweralphaindent" w:customStyle="1">
    <w:name w:val="Number lower alpha indent"/>
    <w:basedOn w:val="Body"/>
    <w:uiPriority w:val="3"/>
    <w:rsid w:val="00C60411"/>
    <w:pPr>
      <w:tabs>
        <w:tab w:val="num" w:pos="794"/>
      </w:tabs>
      <w:ind w:left="1440" w:hanging="360"/>
    </w:pPr>
  </w:style>
  <w:style w:type="paragraph" w:styleId="Numberdigitindent" w:customStyle="1">
    <w:name w:val="Number digit indent"/>
    <w:basedOn w:val="Body"/>
    <w:uiPriority w:val="3"/>
    <w:rsid w:val="003D7E30"/>
    <w:pPr>
      <w:numPr>
        <w:ilvl w:val="1"/>
        <w:numId w:val="7"/>
      </w:numPr>
      <w:ind w:left="1440" w:hanging="360"/>
    </w:pPr>
  </w:style>
  <w:style w:type="paragraph" w:styleId="Numberloweralpha" w:customStyle="1">
    <w:name w:val="Number lower alpha"/>
    <w:basedOn w:val="Body"/>
    <w:uiPriority w:val="3"/>
    <w:rsid w:val="00C60411"/>
    <w:pPr>
      <w:tabs>
        <w:tab w:val="num" w:pos="397"/>
      </w:tabs>
      <w:ind w:left="720" w:hanging="360"/>
    </w:pPr>
  </w:style>
  <w:style w:type="paragraph" w:styleId="Numberlowerroman" w:customStyle="1">
    <w:name w:val="Number lower roman"/>
    <w:basedOn w:val="Body"/>
    <w:uiPriority w:val="3"/>
    <w:rsid w:val="00C60411"/>
    <w:pPr>
      <w:numPr>
        <w:numId w:val="4"/>
      </w:numPr>
    </w:pPr>
  </w:style>
  <w:style w:type="paragraph" w:styleId="Numberlowerromanindent" w:customStyle="1">
    <w:name w:val="Number lower roman indent"/>
    <w:basedOn w:val="Body"/>
    <w:uiPriority w:val="3"/>
    <w:rsid w:val="00C60411"/>
    <w:pPr>
      <w:numPr>
        <w:ilvl w:val="1"/>
        <w:numId w:val="4"/>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7"/>
      </w:numPr>
      <w:ind w:left="2880" w:hanging="360"/>
    </w:pPr>
  </w:style>
  <w:style w:type="numbering" w:styleId="ZZNumberslowerroman" w:customStyle="1">
    <w:name w:val="ZZ Numbers lower roman"/>
    <w:basedOn w:val="ZZQuotebullets"/>
    <w:rsid w:val="00C60411"/>
    <w:pPr>
      <w:numPr>
        <w:numId w:val="3"/>
      </w:numPr>
    </w:pPr>
  </w:style>
  <w:style w:type="numbering" w:styleId="ZZNumbersloweralpha" w:customStyle="1">
    <w:name w:val="ZZ Numbers lower alpha"/>
    <w:basedOn w:val="NoList"/>
    <w:rsid w:val="00C60411"/>
    <w:pPr>
      <w:numPr>
        <w:numId w:val="5"/>
      </w:numPr>
    </w:pPr>
  </w:style>
  <w:style w:type="paragraph" w:styleId="Quotebullet1" w:customStyle="1">
    <w:name w:val="Quote bullet 1"/>
    <w:basedOn w:val="Quotetext"/>
    <w:rsid w:val="00C60411"/>
    <w:pPr>
      <w:numPr>
        <w:numId w:val="3"/>
      </w:numPr>
    </w:pPr>
  </w:style>
  <w:style w:type="paragraph" w:styleId="Quotebullet2" w:customStyle="1">
    <w:name w:val="Quote bullet 2"/>
    <w:basedOn w:val="Quotetext"/>
    <w:rsid w:val="00C60411"/>
    <w:pPr>
      <w:numPr>
        <w:ilvl w:val="1"/>
        <w:numId w:val="3"/>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BE7F8C"/>
    <w:rPr>
      <w:rFonts w:ascii="Arial" w:hAnsi="Arial" w:eastAsia="Times"/>
      <w:sz w:val="24"/>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rPr>
      <w:color w:val="201547"/>
    </w:rPr>
  </w:style>
  <w:style w:type="character" w:styleId="normaltextrun" w:customStyle="1">
    <w:name w:val="normaltextrun"/>
    <w:basedOn w:val="DefaultParagraphFont"/>
    <w:rsid w:val="001E693C"/>
  </w:style>
  <w:style w:type="character" w:styleId="eop" w:customStyle="1">
    <w:name w:val="eop"/>
    <w:basedOn w:val="DefaultParagraphFont"/>
    <w:rsid w:val="001E693C"/>
  </w:style>
  <w:style w:type="paragraph" w:styleId="ListParagraph">
    <w:name w:val="List Paragraph"/>
    <w:aliases w:val="DdeM List Paragraph,Bullet point,List Paragraph1,List Paragraph11,Recommendation,List Bullet 1,L,Content descriptions,Bulletr List Paragraph,FooterText,List Paragraph Number,List Paragraph2,List Paragraph21,Listeafsnit1,Bullet,DDM Gen Tex"/>
    <w:basedOn w:val="Normal"/>
    <w:link w:val="ListParagraphChar"/>
    <w:uiPriority w:val="34"/>
    <w:qFormat/>
    <w:rsid w:val="004C69DC"/>
    <w:pPr>
      <w:spacing w:line="240" w:lineRule="auto"/>
      <w:ind w:left="720"/>
      <w:contextualSpacing/>
    </w:pPr>
    <w:rPr>
      <w:rFonts w:cstheme="minorHAnsi"/>
    </w:rPr>
  </w:style>
  <w:style w:type="character" w:styleId="ListParagraphChar" w:customStyle="1">
    <w:name w:val="List Paragraph Char"/>
    <w:aliases w:val="DdeM List Paragraph Char,Bullet point Char,List Paragraph1 Char,List Paragraph11 Char,Recommendation Char,List Bullet 1 Char,L Char,Content descriptions Char,Bulletr List Paragraph Char,FooterText Char,List Paragraph Number Char"/>
    <w:link w:val="ListParagraph"/>
    <w:uiPriority w:val="34"/>
    <w:qFormat/>
    <w:locked/>
    <w:rsid w:val="004C69DC"/>
    <w:rPr>
      <w:rFonts w:asciiTheme="minorHAnsi" w:hAnsiTheme="minorHAnsi" w:eastAsiaTheme="minorHAnsi" w:cstheme="minorHAnsi"/>
      <w:sz w:val="22"/>
      <w:szCs w:val="22"/>
      <w:lang w:eastAsia="en-US"/>
    </w:rPr>
  </w:style>
  <w:style w:type="paragraph" w:styleId="Caption">
    <w:name w:val="caption"/>
    <w:basedOn w:val="Normal"/>
    <w:next w:val="Normal"/>
    <w:uiPriority w:val="35"/>
    <w:unhideWhenUsed/>
    <w:qFormat/>
    <w:rsid w:val="005474C4"/>
    <w:pPr>
      <w:spacing w:after="200" w:line="240" w:lineRule="auto"/>
    </w:pPr>
    <w:rPr>
      <w:i/>
      <w:iCs/>
      <w:color w:val="1F497D" w:themeColor="text2"/>
      <w:sz w:val="18"/>
      <w:szCs w:val="18"/>
    </w:rPr>
  </w:style>
  <w:style w:type="table" w:styleId="GridTable5Dark-Accent1">
    <w:name w:val="Grid Table 5 Dark Accent 1"/>
    <w:basedOn w:val="TableNormal"/>
    <w:uiPriority w:val="50"/>
    <w:rsid w:val="00141F1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141F13"/>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141F13"/>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 w:customStyle="1">
    <w:name w:val="paragraph"/>
    <w:basedOn w:val="Normal"/>
    <w:rsid w:val="00142C0D"/>
    <w:pPr>
      <w:spacing w:before="100" w:beforeAutospacing="1" w:after="100" w:afterAutospacing="1" w:line="240" w:lineRule="auto"/>
    </w:pPr>
    <w:rPr>
      <w:rFonts w:ascii="Times New Roman" w:hAnsi="Times New Roman"/>
      <w:sz w:val="24"/>
      <w:szCs w:val="24"/>
      <w:lang w:eastAsia="en-AU"/>
    </w:rPr>
  </w:style>
  <w:style w:type="paragraph" w:styleId="Bullets" w:customStyle="1">
    <w:name w:val="Bullets"/>
    <w:basedOn w:val="ListParagraph"/>
    <w:link w:val="BulletsChar"/>
    <w:rsid w:val="007D555C"/>
    <w:pPr>
      <w:numPr>
        <w:numId w:val="6"/>
      </w:numPr>
    </w:pPr>
  </w:style>
  <w:style w:type="character" w:styleId="BulletsChar" w:customStyle="1">
    <w:name w:val="Bullets Char"/>
    <w:basedOn w:val="ListParagraphChar"/>
    <w:link w:val="Bullets"/>
    <w:rsid w:val="007D555C"/>
    <w:rPr>
      <w:rFonts w:asciiTheme="minorHAnsi" w:hAnsiTheme="minorHAnsi" w:eastAsiaTheme="minorHAnsi" w:cstheme="minorHAnsi"/>
      <w:sz w:val="22"/>
      <w:szCs w:val="22"/>
      <w:lang w:eastAsia="en-US"/>
    </w:rPr>
  </w:style>
  <w:style w:type="character" w:styleId="Mention">
    <w:name w:val="Mention"/>
    <w:basedOn w:val="DefaultParagraphFont"/>
    <w:uiPriority w:val="99"/>
    <w:unhideWhenUsed/>
    <w:rsid w:val="003F2DE2"/>
    <w:rPr>
      <w:color w:val="2B579A"/>
      <w:shd w:val="clear" w:color="auto" w:fill="E6E6E6"/>
    </w:rPr>
  </w:style>
  <w:style w:type="paragraph" w:styleId="NormalWeb">
    <w:name w:val="Normal (Web)"/>
    <w:basedOn w:val="Normal"/>
    <w:uiPriority w:val="99"/>
    <w:unhideWhenUsed/>
    <w:rsid w:val="003F2DE2"/>
    <w:pPr>
      <w:spacing w:before="100" w:beforeAutospacing="1" w:after="100" w:afterAutospacing="1" w:line="240" w:lineRule="auto"/>
    </w:pPr>
    <w:rPr>
      <w:rFonts w:ascii="Times New Roman" w:hAnsi="Times New Roman"/>
      <w:sz w:val="24"/>
      <w:szCs w:val="24"/>
      <w:lang w:eastAsia="en-AU"/>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0498D"/>
    <w:rPr>
      <w:rFonts w:ascii="Arial" w:hAnsi="Arial"/>
      <w:b/>
      <w:color w:val="201547"/>
      <w:sz w:val="29"/>
      <w:szCs w:val="28"/>
      <w:lang w:eastAsia="en-US"/>
    </w:rPr>
  </w:style>
  <w:style w:type="character" w:styleId="Emphasis">
    <w:name w:val="Emphasis"/>
    <w:basedOn w:val="DefaultParagraphFont"/>
    <w:uiPriority w:val="20"/>
    <w:qFormat/>
    <w:rsid w:val="004245CC"/>
    <w:rPr>
      <w:i/>
      <w:iCs/>
    </w:rPr>
  </w:style>
  <w:style w:type="paragraph" w:styleId="TOCHeading">
    <w:name w:val="TOC Heading"/>
    <w:basedOn w:val="Heading1"/>
    <w:next w:val="Normal"/>
    <w:uiPriority w:val="39"/>
    <w:unhideWhenUsed/>
    <w:qFormat/>
    <w:rsid w:val="00FD6688"/>
    <w:pPr>
      <w:spacing w:before="240" w:after="0" w:line="259" w:lineRule="auto"/>
      <w:outlineLvl w:val="9"/>
    </w:pPr>
    <w:rPr>
      <w:rFonts w:asciiTheme="majorHAnsi" w:hAnsiTheme="majorHAnsi" w:eastAsiaTheme="majorEastAsia" w:cstheme="majorBidi"/>
      <w:bCs w:val="0"/>
      <w:color w:val="365F91" w:themeColor="accent1" w:themeShade="BF"/>
      <w:kern w:val="0"/>
      <w:sz w:val="32"/>
      <w:szCs w:val="32"/>
    </w:rPr>
  </w:style>
  <w:style w:type="paragraph" w:styleId="DHHSbody" w:customStyle="1">
    <w:name w:val="DHHS body"/>
    <w:link w:val="DHHSbodyChar"/>
    <w:qFormat/>
    <w:rsid w:val="00E2120A"/>
    <w:pPr>
      <w:spacing w:after="120" w:line="270" w:lineRule="atLeast"/>
    </w:pPr>
    <w:rPr>
      <w:rFonts w:ascii="Arial" w:hAnsi="Arial" w:eastAsia="Times"/>
      <w:lang w:eastAsia="en-US"/>
    </w:rPr>
  </w:style>
  <w:style w:type="paragraph" w:styleId="DHHSbullet14pt" w:customStyle="1">
    <w:name w:val="DHHS bullet 14 pt"/>
    <w:basedOn w:val="Normal"/>
    <w:uiPriority w:val="99"/>
    <w:qFormat/>
    <w:rsid w:val="00E2120A"/>
    <w:pPr>
      <w:numPr>
        <w:numId w:val="9"/>
      </w:numPr>
      <w:spacing w:after="120" w:line="270" w:lineRule="atLeast"/>
      <w:jc w:val="both"/>
    </w:pPr>
    <w:rPr>
      <w:rFonts w:ascii="Calibri" w:hAnsi="Calibri" w:eastAsia="Times" w:cs="Times New Roman"/>
      <w:sz w:val="28"/>
      <w:szCs w:val="28"/>
    </w:rPr>
  </w:style>
  <w:style w:type="character" w:styleId="DHHSbodyChar" w:customStyle="1">
    <w:name w:val="DHHS body Char"/>
    <w:basedOn w:val="DefaultParagraphFont"/>
    <w:link w:val="DHHSbody"/>
    <w:rsid w:val="00E2120A"/>
    <w:rPr>
      <w:rFonts w:ascii="Arial" w:hAnsi="Arial" w:eastAsia="Times"/>
      <w:lang w:eastAsia="en-US"/>
    </w:rPr>
  </w:style>
  <w:style w:type="paragraph" w:styleId="ListBullet">
    <w:name w:val="List Bullet"/>
    <w:basedOn w:val="Normal"/>
    <w:uiPriority w:val="99"/>
    <w:unhideWhenUsed/>
    <w:rsid w:val="00AA7721"/>
    <w:pPr>
      <w:numPr>
        <w:numId w:val="10"/>
      </w:numPr>
      <w:spacing w:after="120" w:line="280" w:lineRule="atLeast"/>
      <w:contextualSpacing/>
    </w:pPr>
    <w:rPr>
      <w:rFonts w:ascii="Arial" w:hAnsi="Arial" w:eastAsia="Times New Roman" w:cs="Times New Roman"/>
      <w:sz w:val="21"/>
      <w:szCs w:val="20"/>
    </w:rPr>
  </w:style>
  <w:style w:type="paragraph" w:styleId="DraftHeading4" w:customStyle="1">
    <w:name w:val="Draft Heading 4"/>
    <w:basedOn w:val="Normal"/>
    <w:next w:val="Normal"/>
    <w:link w:val="DraftHeading4Char"/>
    <w:rsid w:val="008F3D80"/>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rPr>
  </w:style>
  <w:style w:type="paragraph" w:styleId="DraftHeading5" w:customStyle="1">
    <w:name w:val="Draft Heading 5"/>
    <w:basedOn w:val="Normal"/>
    <w:next w:val="Normal"/>
    <w:rsid w:val="008F3D80"/>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rPr>
  </w:style>
  <w:style w:type="paragraph" w:styleId="DraftDefinition2" w:customStyle="1">
    <w:name w:val="Draft Definition 2"/>
    <w:next w:val="Normal"/>
    <w:rsid w:val="008F3D8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DraftHeading4Char" w:customStyle="1">
    <w:name w:val="Draft Heading 4 Char"/>
    <w:basedOn w:val="DefaultParagraphFont"/>
    <w:link w:val="DraftHeading4"/>
    <w:rsid w:val="008F3D80"/>
    <w:rPr>
      <w:sz w:val="24"/>
      <w:lang w:eastAsia="en-US"/>
    </w:rPr>
  </w:style>
  <w:style w:type="paragraph" w:styleId="BodyText">
    <w:name w:val="Body Text"/>
    <w:link w:val="BodyTextChar"/>
    <w:qFormat/>
    <w:rsid w:val="008F0E93"/>
    <w:pPr>
      <w:suppressAutoHyphens/>
      <w:spacing w:before="80" w:after="80" w:line="264" w:lineRule="auto"/>
    </w:pPr>
    <w:rPr>
      <w:rFonts w:ascii="Arial" w:hAnsi="Arial" w:cs="Arial"/>
      <w:szCs w:val="18"/>
    </w:rPr>
  </w:style>
  <w:style w:type="character" w:styleId="BodyTextChar" w:customStyle="1">
    <w:name w:val="Body Text Char"/>
    <w:basedOn w:val="DefaultParagraphFont"/>
    <w:link w:val="BodyText"/>
    <w:rsid w:val="008F0E93"/>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80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382938">
      <w:bodyDiv w:val="1"/>
      <w:marLeft w:val="0"/>
      <w:marRight w:val="0"/>
      <w:marTop w:val="0"/>
      <w:marBottom w:val="0"/>
      <w:divBdr>
        <w:top w:val="none" w:sz="0" w:space="0" w:color="auto"/>
        <w:left w:val="none" w:sz="0" w:space="0" w:color="auto"/>
        <w:bottom w:val="none" w:sz="0" w:space="0" w:color="auto"/>
        <w:right w:val="none" w:sz="0" w:space="0" w:color="auto"/>
      </w:divBdr>
    </w:div>
    <w:div w:id="1907994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5843235">
      <w:bodyDiv w:val="1"/>
      <w:marLeft w:val="0"/>
      <w:marRight w:val="0"/>
      <w:marTop w:val="0"/>
      <w:marBottom w:val="0"/>
      <w:divBdr>
        <w:top w:val="none" w:sz="0" w:space="0" w:color="auto"/>
        <w:left w:val="none" w:sz="0" w:space="0" w:color="auto"/>
        <w:bottom w:val="none" w:sz="0" w:space="0" w:color="auto"/>
        <w:right w:val="none" w:sz="0" w:space="0" w:color="auto"/>
      </w:divBdr>
      <w:divsChild>
        <w:div w:id="1093431725">
          <w:marLeft w:val="0"/>
          <w:marRight w:val="0"/>
          <w:marTop w:val="0"/>
          <w:marBottom w:val="0"/>
          <w:divBdr>
            <w:top w:val="none" w:sz="0" w:space="0" w:color="auto"/>
            <w:left w:val="none" w:sz="0" w:space="0" w:color="auto"/>
            <w:bottom w:val="none" w:sz="0" w:space="0" w:color="auto"/>
            <w:right w:val="none" w:sz="0" w:space="0" w:color="auto"/>
          </w:divBdr>
          <w:divsChild>
            <w:div w:id="84349478">
              <w:marLeft w:val="0"/>
              <w:marRight w:val="0"/>
              <w:marTop w:val="0"/>
              <w:marBottom w:val="0"/>
              <w:divBdr>
                <w:top w:val="none" w:sz="0" w:space="0" w:color="auto"/>
                <w:left w:val="none" w:sz="0" w:space="0" w:color="auto"/>
                <w:bottom w:val="none" w:sz="0" w:space="0" w:color="auto"/>
                <w:right w:val="none" w:sz="0" w:space="0" w:color="auto"/>
              </w:divBdr>
            </w:div>
          </w:divsChild>
        </w:div>
        <w:div w:id="1405762938">
          <w:marLeft w:val="0"/>
          <w:marRight w:val="0"/>
          <w:marTop w:val="0"/>
          <w:marBottom w:val="0"/>
          <w:divBdr>
            <w:top w:val="none" w:sz="0" w:space="0" w:color="auto"/>
            <w:left w:val="none" w:sz="0" w:space="0" w:color="auto"/>
            <w:bottom w:val="none" w:sz="0" w:space="0" w:color="auto"/>
            <w:right w:val="none" w:sz="0" w:space="0" w:color="auto"/>
          </w:divBdr>
          <w:divsChild>
            <w:div w:id="622346202">
              <w:marLeft w:val="0"/>
              <w:marRight w:val="0"/>
              <w:marTop w:val="0"/>
              <w:marBottom w:val="0"/>
              <w:divBdr>
                <w:top w:val="none" w:sz="0" w:space="0" w:color="auto"/>
                <w:left w:val="none" w:sz="0" w:space="0" w:color="auto"/>
                <w:bottom w:val="none" w:sz="0" w:space="0" w:color="auto"/>
                <w:right w:val="none" w:sz="0" w:space="0" w:color="auto"/>
              </w:divBdr>
            </w:div>
            <w:div w:id="1319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3440">
      <w:bodyDiv w:val="1"/>
      <w:marLeft w:val="0"/>
      <w:marRight w:val="0"/>
      <w:marTop w:val="0"/>
      <w:marBottom w:val="0"/>
      <w:divBdr>
        <w:top w:val="none" w:sz="0" w:space="0" w:color="auto"/>
        <w:left w:val="none" w:sz="0" w:space="0" w:color="auto"/>
        <w:bottom w:val="none" w:sz="0" w:space="0" w:color="auto"/>
        <w:right w:val="none" w:sz="0" w:space="0" w:color="auto"/>
      </w:divBdr>
    </w:div>
    <w:div w:id="828206606">
      <w:bodyDiv w:val="1"/>
      <w:marLeft w:val="0"/>
      <w:marRight w:val="0"/>
      <w:marTop w:val="0"/>
      <w:marBottom w:val="0"/>
      <w:divBdr>
        <w:top w:val="none" w:sz="0" w:space="0" w:color="auto"/>
        <w:left w:val="none" w:sz="0" w:space="0" w:color="auto"/>
        <w:bottom w:val="none" w:sz="0" w:space="0" w:color="auto"/>
        <w:right w:val="none" w:sz="0" w:space="0" w:color="auto"/>
      </w:divBdr>
      <w:divsChild>
        <w:div w:id="468598240">
          <w:marLeft w:val="0"/>
          <w:marRight w:val="0"/>
          <w:marTop w:val="0"/>
          <w:marBottom w:val="0"/>
          <w:divBdr>
            <w:top w:val="none" w:sz="0" w:space="0" w:color="auto"/>
            <w:left w:val="none" w:sz="0" w:space="0" w:color="auto"/>
            <w:bottom w:val="none" w:sz="0" w:space="0" w:color="auto"/>
            <w:right w:val="none" w:sz="0" w:space="0" w:color="auto"/>
          </w:divBdr>
        </w:div>
        <w:div w:id="471021747">
          <w:marLeft w:val="0"/>
          <w:marRight w:val="0"/>
          <w:marTop w:val="0"/>
          <w:marBottom w:val="0"/>
          <w:divBdr>
            <w:top w:val="none" w:sz="0" w:space="0" w:color="auto"/>
            <w:left w:val="none" w:sz="0" w:space="0" w:color="auto"/>
            <w:bottom w:val="none" w:sz="0" w:space="0" w:color="auto"/>
            <w:right w:val="none" w:sz="0" w:space="0" w:color="auto"/>
          </w:divBdr>
        </w:div>
        <w:div w:id="1130903227">
          <w:marLeft w:val="0"/>
          <w:marRight w:val="0"/>
          <w:marTop w:val="0"/>
          <w:marBottom w:val="0"/>
          <w:divBdr>
            <w:top w:val="none" w:sz="0" w:space="0" w:color="auto"/>
            <w:left w:val="none" w:sz="0" w:space="0" w:color="auto"/>
            <w:bottom w:val="none" w:sz="0" w:space="0" w:color="auto"/>
            <w:right w:val="none" w:sz="0" w:space="0" w:color="auto"/>
          </w:divBdr>
        </w:div>
        <w:div w:id="1150827050">
          <w:marLeft w:val="0"/>
          <w:marRight w:val="0"/>
          <w:marTop w:val="0"/>
          <w:marBottom w:val="0"/>
          <w:divBdr>
            <w:top w:val="none" w:sz="0" w:space="0" w:color="auto"/>
            <w:left w:val="none" w:sz="0" w:space="0" w:color="auto"/>
            <w:bottom w:val="none" w:sz="0" w:space="0" w:color="auto"/>
            <w:right w:val="none" w:sz="0" w:space="0" w:color="auto"/>
          </w:divBdr>
        </w:div>
        <w:div w:id="1659721843">
          <w:marLeft w:val="0"/>
          <w:marRight w:val="0"/>
          <w:marTop w:val="0"/>
          <w:marBottom w:val="0"/>
          <w:divBdr>
            <w:top w:val="none" w:sz="0" w:space="0" w:color="auto"/>
            <w:left w:val="none" w:sz="0" w:space="0" w:color="auto"/>
            <w:bottom w:val="none" w:sz="0" w:space="0" w:color="auto"/>
            <w:right w:val="none" w:sz="0" w:space="0" w:color="auto"/>
          </w:divBdr>
        </w:div>
        <w:div w:id="1676491748">
          <w:marLeft w:val="0"/>
          <w:marRight w:val="0"/>
          <w:marTop w:val="0"/>
          <w:marBottom w:val="0"/>
          <w:divBdr>
            <w:top w:val="none" w:sz="0" w:space="0" w:color="auto"/>
            <w:left w:val="none" w:sz="0" w:space="0" w:color="auto"/>
            <w:bottom w:val="none" w:sz="0" w:space="0" w:color="auto"/>
            <w:right w:val="none" w:sz="0" w:space="0" w:color="auto"/>
          </w:divBdr>
        </w:div>
        <w:div w:id="1750270173">
          <w:marLeft w:val="0"/>
          <w:marRight w:val="0"/>
          <w:marTop w:val="0"/>
          <w:marBottom w:val="0"/>
          <w:divBdr>
            <w:top w:val="none" w:sz="0" w:space="0" w:color="auto"/>
            <w:left w:val="none" w:sz="0" w:space="0" w:color="auto"/>
            <w:bottom w:val="none" w:sz="0" w:space="0" w:color="auto"/>
            <w:right w:val="none" w:sz="0" w:space="0" w:color="auto"/>
          </w:divBdr>
        </w:div>
      </w:divsChild>
    </w:div>
    <w:div w:id="8449027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7886052">
      <w:bodyDiv w:val="1"/>
      <w:marLeft w:val="0"/>
      <w:marRight w:val="0"/>
      <w:marTop w:val="0"/>
      <w:marBottom w:val="0"/>
      <w:divBdr>
        <w:top w:val="none" w:sz="0" w:space="0" w:color="auto"/>
        <w:left w:val="none" w:sz="0" w:space="0" w:color="auto"/>
        <w:bottom w:val="none" w:sz="0" w:space="0" w:color="auto"/>
        <w:right w:val="none" w:sz="0" w:space="0" w:color="auto"/>
      </w:divBdr>
      <w:divsChild>
        <w:div w:id="143090107">
          <w:marLeft w:val="0"/>
          <w:marRight w:val="0"/>
          <w:marTop w:val="0"/>
          <w:marBottom w:val="0"/>
          <w:divBdr>
            <w:top w:val="none" w:sz="0" w:space="0" w:color="auto"/>
            <w:left w:val="none" w:sz="0" w:space="0" w:color="auto"/>
            <w:bottom w:val="none" w:sz="0" w:space="0" w:color="auto"/>
            <w:right w:val="none" w:sz="0" w:space="0" w:color="auto"/>
          </w:divBdr>
        </w:div>
        <w:div w:id="248085097">
          <w:marLeft w:val="0"/>
          <w:marRight w:val="0"/>
          <w:marTop w:val="0"/>
          <w:marBottom w:val="0"/>
          <w:divBdr>
            <w:top w:val="none" w:sz="0" w:space="0" w:color="auto"/>
            <w:left w:val="none" w:sz="0" w:space="0" w:color="auto"/>
            <w:bottom w:val="none" w:sz="0" w:space="0" w:color="auto"/>
            <w:right w:val="none" w:sz="0" w:space="0" w:color="auto"/>
          </w:divBdr>
        </w:div>
        <w:div w:id="894852145">
          <w:marLeft w:val="0"/>
          <w:marRight w:val="0"/>
          <w:marTop w:val="0"/>
          <w:marBottom w:val="0"/>
          <w:divBdr>
            <w:top w:val="none" w:sz="0" w:space="0" w:color="auto"/>
            <w:left w:val="none" w:sz="0" w:space="0" w:color="auto"/>
            <w:bottom w:val="none" w:sz="0" w:space="0" w:color="auto"/>
            <w:right w:val="none" w:sz="0" w:space="0" w:color="auto"/>
          </w:divBdr>
        </w:div>
        <w:div w:id="1549148470">
          <w:marLeft w:val="0"/>
          <w:marRight w:val="0"/>
          <w:marTop w:val="0"/>
          <w:marBottom w:val="0"/>
          <w:divBdr>
            <w:top w:val="none" w:sz="0" w:space="0" w:color="auto"/>
            <w:left w:val="none" w:sz="0" w:space="0" w:color="auto"/>
            <w:bottom w:val="none" w:sz="0" w:space="0" w:color="auto"/>
            <w:right w:val="none" w:sz="0" w:space="0" w:color="auto"/>
          </w:divBdr>
        </w:div>
        <w:div w:id="1780643405">
          <w:marLeft w:val="0"/>
          <w:marRight w:val="0"/>
          <w:marTop w:val="0"/>
          <w:marBottom w:val="0"/>
          <w:divBdr>
            <w:top w:val="none" w:sz="0" w:space="0" w:color="auto"/>
            <w:left w:val="none" w:sz="0" w:space="0" w:color="auto"/>
            <w:bottom w:val="none" w:sz="0" w:space="0" w:color="auto"/>
            <w:right w:val="none" w:sz="0" w:space="0" w:color="auto"/>
          </w:divBdr>
        </w:div>
      </w:divsChild>
    </w:div>
    <w:div w:id="893003607">
      <w:bodyDiv w:val="1"/>
      <w:marLeft w:val="0"/>
      <w:marRight w:val="0"/>
      <w:marTop w:val="0"/>
      <w:marBottom w:val="0"/>
      <w:divBdr>
        <w:top w:val="none" w:sz="0" w:space="0" w:color="auto"/>
        <w:left w:val="none" w:sz="0" w:space="0" w:color="auto"/>
        <w:bottom w:val="none" w:sz="0" w:space="0" w:color="auto"/>
        <w:right w:val="none" w:sz="0" w:space="0" w:color="auto"/>
      </w:divBdr>
      <w:divsChild>
        <w:div w:id="29037747">
          <w:marLeft w:val="0"/>
          <w:marRight w:val="0"/>
          <w:marTop w:val="0"/>
          <w:marBottom w:val="0"/>
          <w:divBdr>
            <w:top w:val="none" w:sz="0" w:space="0" w:color="auto"/>
            <w:left w:val="none" w:sz="0" w:space="0" w:color="auto"/>
            <w:bottom w:val="none" w:sz="0" w:space="0" w:color="auto"/>
            <w:right w:val="none" w:sz="0" w:space="0" w:color="auto"/>
          </w:divBdr>
        </w:div>
        <w:div w:id="496455698">
          <w:marLeft w:val="0"/>
          <w:marRight w:val="0"/>
          <w:marTop w:val="0"/>
          <w:marBottom w:val="0"/>
          <w:divBdr>
            <w:top w:val="none" w:sz="0" w:space="0" w:color="auto"/>
            <w:left w:val="none" w:sz="0" w:space="0" w:color="auto"/>
            <w:bottom w:val="none" w:sz="0" w:space="0" w:color="auto"/>
            <w:right w:val="none" w:sz="0" w:space="0" w:color="auto"/>
          </w:divBdr>
        </w:div>
        <w:div w:id="734082467">
          <w:marLeft w:val="0"/>
          <w:marRight w:val="0"/>
          <w:marTop w:val="0"/>
          <w:marBottom w:val="0"/>
          <w:divBdr>
            <w:top w:val="none" w:sz="0" w:space="0" w:color="auto"/>
            <w:left w:val="none" w:sz="0" w:space="0" w:color="auto"/>
            <w:bottom w:val="none" w:sz="0" w:space="0" w:color="auto"/>
            <w:right w:val="none" w:sz="0" w:space="0" w:color="auto"/>
          </w:divBdr>
        </w:div>
        <w:div w:id="1106844823">
          <w:marLeft w:val="0"/>
          <w:marRight w:val="0"/>
          <w:marTop w:val="0"/>
          <w:marBottom w:val="0"/>
          <w:divBdr>
            <w:top w:val="none" w:sz="0" w:space="0" w:color="auto"/>
            <w:left w:val="none" w:sz="0" w:space="0" w:color="auto"/>
            <w:bottom w:val="none" w:sz="0" w:space="0" w:color="auto"/>
            <w:right w:val="none" w:sz="0" w:space="0" w:color="auto"/>
          </w:divBdr>
        </w:div>
        <w:div w:id="1652246012">
          <w:marLeft w:val="0"/>
          <w:marRight w:val="0"/>
          <w:marTop w:val="0"/>
          <w:marBottom w:val="0"/>
          <w:divBdr>
            <w:top w:val="none" w:sz="0" w:space="0" w:color="auto"/>
            <w:left w:val="none" w:sz="0" w:space="0" w:color="auto"/>
            <w:bottom w:val="none" w:sz="0" w:space="0" w:color="auto"/>
            <w:right w:val="none" w:sz="0" w:space="0" w:color="auto"/>
          </w:divBdr>
        </w:div>
        <w:div w:id="1682780796">
          <w:marLeft w:val="0"/>
          <w:marRight w:val="0"/>
          <w:marTop w:val="0"/>
          <w:marBottom w:val="0"/>
          <w:divBdr>
            <w:top w:val="none" w:sz="0" w:space="0" w:color="auto"/>
            <w:left w:val="none" w:sz="0" w:space="0" w:color="auto"/>
            <w:bottom w:val="none" w:sz="0" w:space="0" w:color="auto"/>
            <w:right w:val="none" w:sz="0" w:space="0" w:color="auto"/>
          </w:divBdr>
        </w:div>
        <w:div w:id="1691561263">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490504">
      <w:bodyDiv w:val="1"/>
      <w:marLeft w:val="0"/>
      <w:marRight w:val="0"/>
      <w:marTop w:val="0"/>
      <w:marBottom w:val="0"/>
      <w:divBdr>
        <w:top w:val="none" w:sz="0" w:space="0" w:color="auto"/>
        <w:left w:val="none" w:sz="0" w:space="0" w:color="auto"/>
        <w:bottom w:val="none" w:sz="0" w:space="0" w:color="auto"/>
        <w:right w:val="none" w:sz="0" w:space="0" w:color="auto"/>
      </w:divBdr>
      <w:divsChild>
        <w:div w:id="67659014">
          <w:marLeft w:val="0"/>
          <w:marRight w:val="0"/>
          <w:marTop w:val="0"/>
          <w:marBottom w:val="0"/>
          <w:divBdr>
            <w:top w:val="none" w:sz="0" w:space="0" w:color="auto"/>
            <w:left w:val="none" w:sz="0" w:space="0" w:color="auto"/>
            <w:bottom w:val="none" w:sz="0" w:space="0" w:color="auto"/>
            <w:right w:val="none" w:sz="0" w:space="0" w:color="auto"/>
          </w:divBdr>
        </w:div>
        <w:div w:id="217328059">
          <w:marLeft w:val="0"/>
          <w:marRight w:val="0"/>
          <w:marTop w:val="0"/>
          <w:marBottom w:val="0"/>
          <w:divBdr>
            <w:top w:val="none" w:sz="0" w:space="0" w:color="auto"/>
            <w:left w:val="none" w:sz="0" w:space="0" w:color="auto"/>
            <w:bottom w:val="none" w:sz="0" w:space="0" w:color="auto"/>
            <w:right w:val="none" w:sz="0" w:space="0" w:color="auto"/>
          </w:divBdr>
        </w:div>
        <w:div w:id="454367529">
          <w:marLeft w:val="0"/>
          <w:marRight w:val="0"/>
          <w:marTop w:val="0"/>
          <w:marBottom w:val="0"/>
          <w:divBdr>
            <w:top w:val="none" w:sz="0" w:space="0" w:color="auto"/>
            <w:left w:val="none" w:sz="0" w:space="0" w:color="auto"/>
            <w:bottom w:val="none" w:sz="0" w:space="0" w:color="auto"/>
            <w:right w:val="none" w:sz="0" w:space="0" w:color="auto"/>
          </w:divBdr>
        </w:div>
        <w:div w:id="534200888">
          <w:marLeft w:val="0"/>
          <w:marRight w:val="0"/>
          <w:marTop w:val="0"/>
          <w:marBottom w:val="0"/>
          <w:divBdr>
            <w:top w:val="none" w:sz="0" w:space="0" w:color="auto"/>
            <w:left w:val="none" w:sz="0" w:space="0" w:color="auto"/>
            <w:bottom w:val="none" w:sz="0" w:space="0" w:color="auto"/>
            <w:right w:val="none" w:sz="0" w:space="0" w:color="auto"/>
          </w:divBdr>
        </w:div>
        <w:div w:id="1305743892">
          <w:marLeft w:val="0"/>
          <w:marRight w:val="0"/>
          <w:marTop w:val="0"/>
          <w:marBottom w:val="0"/>
          <w:divBdr>
            <w:top w:val="none" w:sz="0" w:space="0" w:color="auto"/>
            <w:left w:val="none" w:sz="0" w:space="0" w:color="auto"/>
            <w:bottom w:val="none" w:sz="0" w:space="0" w:color="auto"/>
            <w:right w:val="none" w:sz="0" w:space="0" w:color="auto"/>
          </w:divBdr>
        </w:div>
        <w:div w:id="1932153883">
          <w:marLeft w:val="0"/>
          <w:marRight w:val="0"/>
          <w:marTop w:val="0"/>
          <w:marBottom w:val="0"/>
          <w:divBdr>
            <w:top w:val="none" w:sz="0" w:space="0" w:color="auto"/>
            <w:left w:val="none" w:sz="0" w:space="0" w:color="auto"/>
            <w:bottom w:val="none" w:sz="0" w:space="0" w:color="auto"/>
            <w:right w:val="none" w:sz="0" w:space="0" w:color="auto"/>
          </w:divBdr>
        </w:div>
        <w:div w:id="2141680605">
          <w:marLeft w:val="0"/>
          <w:marRight w:val="0"/>
          <w:marTop w:val="0"/>
          <w:marBottom w:val="0"/>
          <w:divBdr>
            <w:top w:val="none" w:sz="0" w:space="0" w:color="auto"/>
            <w:left w:val="none" w:sz="0" w:space="0" w:color="auto"/>
            <w:bottom w:val="none" w:sz="0" w:space="0" w:color="auto"/>
            <w:right w:val="none" w:sz="0" w:space="0" w:color="auto"/>
          </w:divBdr>
        </w:div>
      </w:divsChild>
    </w:div>
    <w:div w:id="1056274738">
      <w:bodyDiv w:val="1"/>
      <w:marLeft w:val="0"/>
      <w:marRight w:val="0"/>
      <w:marTop w:val="0"/>
      <w:marBottom w:val="0"/>
      <w:divBdr>
        <w:top w:val="none" w:sz="0" w:space="0" w:color="auto"/>
        <w:left w:val="none" w:sz="0" w:space="0" w:color="auto"/>
        <w:bottom w:val="none" w:sz="0" w:space="0" w:color="auto"/>
        <w:right w:val="none" w:sz="0" w:space="0" w:color="auto"/>
      </w:divBdr>
      <w:divsChild>
        <w:div w:id="72751292">
          <w:marLeft w:val="547"/>
          <w:marRight w:val="0"/>
          <w:marTop w:val="160"/>
          <w:marBottom w:val="160"/>
          <w:divBdr>
            <w:top w:val="none" w:sz="0" w:space="0" w:color="auto"/>
            <w:left w:val="none" w:sz="0" w:space="0" w:color="auto"/>
            <w:bottom w:val="none" w:sz="0" w:space="0" w:color="auto"/>
            <w:right w:val="none" w:sz="0" w:space="0" w:color="auto"/>
          </w:divBdr>
        </w:div>
        <w:div w:id="502015224">
          <w:marLeft w:val="547"/>
          <w:marRight w:val="0"/>
          <w:marTop w:val="160"/>
          <w:marBottom w:val="160"/>
          <w:divBdr>
            <w:top w:val="none" w:sz="0" w:space="0" w:color="auto"/>
            <w:left w:val="none" w:sz="0" w:space="0" w:color="auto"/>
            <w:bottom w:val="none" w:sz="0" w:space="0" w:color="auto"/>
            <w:right w:val="none" w:sz="0" w:space="0" w:color="auto"/>
          </w:divBdr>
        </w:div>
        <w:div w:id="933828722">
          <w:marLeft w:val="547"/>
          <w:marRight w:val="0"/>
          <w:marTop w:val="160"/>
          <w:marBottom w:val="160"/>
          <w:divBdr>
            <w:top w:val="none" w:sz="0" w:space="0" w:color="auto"/>
            <w:left w:val="none" w:sz="0" w:space="0" w:color="auto"/>
            <w:bottom w:val="none" w:sz="0" w:space="0" w:color="auto"/>
            <w:right w:val="none" w:sz="0" w:space="0" w:color="auto"/>
          </w:divBdr>
        </w:div>
        <w:div w:id="1367877286">
          <w:marLeft w:val="547"/>
          <w:marRight w:val="0"/>
          <w:marTop w:val="160"/>
          <w:marBottom w:val="160"/>
          <w:divBdr>
            <w:top w:val="none" w:sz="0" w:space="0" w:color="auto"/>
            <w:left w:val="none" w:sz="0" w:space="0" w:color="auto"/>
            <w:bottom w:val="none" w:sz="0" w:space="0" w:color="auto"/>
            <w:right w:val="none" w:sz="0" w:space="0" w:color="auto"/>
          </w:divBdr>
        </w:div>
        <w:div w:id="1981836964">
          <w:marLeft w:val="547"/>
          <w:marRight w:val="0"/>
          <w:marTop w:val="160"/>
          <w:marBottom w:val="160"/>
          <w:divBdr>
            <w:top w:val="none" w:sz="0" w:space="0" w:color="auto"/>
            <w:left w:val="none" w:sz="0" w:space="0" w:color="auto"/>
            <w:bottom w:val="none" w:sz="0" w:space="0" w:color="auto"/>
            <w:right w:val="none" w:sz="0" w:space="0" w:color="auto"/>
          </w:divBdr>
        </w:div>
      </w:divsChild>
    </w:div>
    <w:div w:id="1080951639">
      <w:bodyDiv w:val="1"/>
      <w:marLeft w:val="0"/>
      <w:marRight w:val="0"/>
      <w:marTop w:val="0"/>
      <w:marBottom w:val="0"/>
      <w:divBdr>
        <w:top w:val="none" w:sz="0" w:space="0" w:color="auto"/>
        <w:left w:val="none" w:sz="0" w:space="0" w:color="auto"/>
        <w:bottom w:val="none" w:sz="0" w:space="0" w:color="auto"/>
        <w:right w:val="none" w:sz="0" w:space="0" w:color="auto"/>
      </w:divBdr>
    </w:div>
    <w:div w:id="1164902790">
      <w:bodyDiv w:val="1"/>
      <w:marLeft w:val="0"/>
      <w:marRight w:val="0"/>
      <w:marTop w:val="0"/>
      <w:marBottom w:val="0"/>
      <w:divBdr>
        <w:top w:val="none" w:sz="0" w:space="0" w:color="auto"/>
        <w:left w:val="none" w:sz="0" w:space="0" w:color="auto"/>
        <w:bottom w:val="none" w:sz="0" w:space="0" w:color="auto"/>
        <w:right w:val="none" w:sz="0" w:space="0" w:color="auto"/>
      </w:divBdr>
      <w:divsChild>
        <w:div w:id="444620772">
          <w:marLeft w:val="0"/>
          <w:marRight w:val="0"/>
          <w:marTop w:val="0"/>
          <w:marBottom w:val="0"/>
          <w:divBdr>
            <w:top w:val="none" w:sz="0" w:space="0" w:color="auto"/>
            <w:left w:val="none" w:sz="0" w:space="0" w:color="auto"/>
            <w:bottom w:val="none" w:sz="0" w:space="0" w:color="auto"/>
            <w:right w:val="none" w:sz="0" w:space="0" w:color="auto"/>
          </w:divBdr>
        </w:div>
        <w:div w:id="1897232463">
          <w:marLeft w:val="0"/>
          <w:marRight w:val="0"/>
          <w:marTop w:val="0"/>
          <w:marBottom w:val="0"/>
          <w:divBdr>
            <w:top w:val="none" w:sz="0" w:space="0" w:color="auto"/>
            <w:left w:val="none" w:sz="0" w:space="0" w:color="auto"/>
            <w:bottom w:val="none" w:sz="0" w:space="0" w:color="auto"/>
            <w:right w:val="none" w:sz="0" w:space="0" w:color="auto"/>
          </w:divBdr>
        </w:div>
      </w:divsChild>
    </w:div>
    <w:div w:id="1197230594">
      <w:bodyDiv w:val="1"/>
      <w:marLeft w:val="0"/>
      <w:marRight w:val="0"/>
      <w:marTop w:val="0"/>
      <w:marBottom w:val="0"/>
      <w:divBdr>
        <w:top w:val="none" w:sz="0" w:space="0" w:color="auto"/>
        <w:left w:val="none" w:sz="0" w:space="0" w:color="auto"/>
        <w:bottom w:val="none" w:sz="0" w:space="0" w:color="auto"/>
        <w:right w:val="none" w:sz="0" w:space="0" w:color="auto"/>
      </w:divBdr>
      <w:divsChild>
        <w:div w:id="459804438">
          <w:marLeft w:val="0"/>
          <w:marRight w:val="0"/>
          <w:marTop w:val="0"/>
          <w:marBottom w:val="0"/>
          <w:divBdr>
            <w:top w:val="none" w:sz="0" w:space="0" w:color="auto"/>
            <w:left w:val="none" w:sz="0" w:space="0" w:color="auto"/>
            <w:bottom w:val="none" w:sz="0" w:space="0" w:color="auto"/>
            <w:right w:val="none" w:sz="0" w:space="0" w:color="auto"/>
          </w:divBdr>
        </w:div>
        <w:div w:id="568734661">
          <w:marLeft w:val="0"/>
          <w:marRight w:val="0"/>
          <w:marTop w:val="0"/>
          <w:marBottom w:val="0"/>
          <w:divBdr>
            <w:top w:val="none" w:sz="0" w:space="0" w:color="auto"/>
            <w:left w:val="none" w:sz="0" w:space="0" w:color="auto"/>
            <w:bottom w:val="none" w:sz="0" w:space="0" w:color="auto"/>
            <w:right w:val="none" w:sz="0" w:space="0" w:color="auto"/>
          </w:divBdr>
        </w:div>
        <w:div w:id="1144081252">
          <w:marLeft w:val="0"/>
          <w:marRight w:val="0"/>
          <w:marTop w:val="0"/>
          <w:marBottom w:val="0"/>
          <w:divBdr>
            <w:top w:val="none" w:sz="0" w:space="0" w:color="auto"/>
            <w:left w:val="none" w:sz="0" w:space="0" w:color="auto"/>
            <w:bottom w:val="none" w:sz="0" w:space="0" w:color="auto"/>
            <w:right w:val="none" w:sz="0" w:space="0" w:color="auto"/>
          </w:divBdr>
        </w:div>
        <w:div w:id="1413577053">
          <w:marLeft w:val="0"/>
          <w:marRight w:val="0"/>
          <w:marTop w:val="0"/>
          <w:marBottom w:val="0"/>
          <w:divBdr>
            <w:top w:val="none" w:sz="0" w:space="0" w:color="auto"/>
            <w:left w:val="none" w:sz="0" w:space="0" w:color="auto"/>
            <w:bottom w:val="none" w:sz="0" w:space="0" w:color="auto"/>
            <w:right w:val="none" w:sz="0" w:space="0" w:color="auto"/>
          </w:divBdr>
        </w:div>
        <w:div w:id="175035017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415867">
      <w:bodyDiv w:val="1"/>
      <w:marLeft w:val="0"/>
      <w:marRight w:val="0"/>
      <w:marTop w:val="0"/>
      <w:marBottom w:val="0"/>
      <w:divBdr>
        <w:top w:val="none" w:sz="0" w:space="0" w:color="auto"/>
        <w:left w:val="none" w:sz="0" w:space="0" w:color="auto"/>
        <w:bottom w:val="none" w:sz="0" w:space="0" w:color="auto"/>
        <w:right w:val="none" w:sz="0" w:space="0" w:color="auto"/>
      </w:divBdr>
    </w:div>
    <w:div w:id="1516193600">
      <w:bodyDiv w:val="1"/>
      <w:marLeft w:val="0"/>
      <w:marRight w:val="0"/>
      <w:marTop w:val="0"/>
      <w:marBottom w:val="0"/>
      <w:divBdr>
        <w:top w:val="none" w:sz="0" w:space="0" w:color="auto"/>
        <w:left w:val="none" w:sz="0" w:space="0" w:color="auto"/>
        <w:bottom w:val="none" w:sz="0" w:space="0" w:color="auto"/>
        <w:right w:val="none" w:sz="0" w:space="0" w:color="auto"/>
      </w:divBdr>
    </w:div>
    <w:div w:id="1585869908">
      <w:bodyDiv w:val="1"/>
      <w:marLeft w:val="0"/>
      <w:marRight w:val="0"/>
      <w:marTop w:val="0"/>
      <w:marBottom w:val="0"/>
      <w:divBdr>
        <w:top w:val="none" w:sz="0" w:space="0" w:color="auto"/>
        <w:left w:val="none" w:sz="0" w:space="0" w:color="auto"/>
        <w:bottom w:val="none" w:sz="0" w:space="0" w:color="auto"/>
        <w:right w:val="none" w:sz="0" w:space="0" w:color="auto"/>
      </w:divBdr>
      <w:divsChild>
        <w:div w:id="348917899">
          <w:marLeft w:val="446"/>
          <w:marRight w:val="0"/>
          <w:marTop w:val="100"/>
          <w:marBottom w:val="100"/>
          <w:divBdr>
            <w:top w:val="none" w:sz="0" w:space="0" w:color="auto"/>
            <w:left w:val="none" w:sz="0" w:space="0" w:color="auto"/>
            <w:bottom w:val="none" w:sz="0" w:space="0" w:color="auto"/>
            <w:right w:val="none" w:sz="0" w:space="0" w:color="auto"/>
          </w:divBdr>
        </w:div>
        <w:div w:id="454830497">
          <w:marLeft w:val="907"/>
          <w:marRight w:val="0"/>
          <w:marTop w:val="100"/>
          <w:marBottom w:val="100"/>
          <w:divBdr>
            <w:top w:val="none" w:sz="0" w:space="0" w:color="auto"/>
            <w:left w:val="none" w:sz="0" w:space="0" w:color="auto"/>
            <w:bottom w:val="none" w:sz="0" w:space="0" w:color="auto"/>
            <w:right w:val="none" w:sz="0" w:space="0" w:color="auto"/>
          </w:divBdr>
        </w:div>
        <w:div w:id="856162814">
          <w:marLeft w:val="446"/>
          <w:marRight w:val="0"/>
          <w:marTop w:val="100"/>
          <w:marBottom w:val="100"/>
          <w:divBdr>
            <w:top w:val="none" w:sz="0" w:space="0" w:color="auto"/>
            <w:left w:val="none" w:sz="0" w:space="0" w:color="auto"/>
            <w:bottom w:val="none" w:sz="0" w:space="0" w:color="auto"/>
            <w:right w:val="none" w:sz="0" w:space="0" w:color="auto"/>
          </w:divBdr>
        </w:div>
        <w:div w:id="1318680944">
          <w:marLeft w:val="850"/>
          <w:marRight w:val="0"/>
          <w:marTop w:val="100"/>
          <w:marBottom w:val="100"/>
          <w:divBdr>
            <w:top w:val="none" w:sz="0" w:space="0" w:color="auto"/>
            <w:left w:val="none" w:sz="0" w:space="0" w:color="auto"/>
            <w:bottom w:val="none" w:sz="0" w:space="0" w:color="auto"/>
            <w:right w:val="none" w:sz="0" w:space="0" w:color="auto"/>
          </w:divBdr>
        </w:div>
        <w:div w:id="1425613452">
          <w:marLeft w:val="907"/>
          <w:marRight w:val="0"/>
          <w:marTop w:val="100"/>
          <w:marBottom w:val="100"/>
          <w:divBdr>
            <w:top w:val="none" w:sz="0" w:space="0" w:color="auto"/>
            <w:left w:val="none" w:sz="0" w:space="0" w:color="auto"/>
            <w:bottom w:val="none" w:sz="0" w:space="0" w:color="auto"/>
            <w:right w:val="none" w:sz="0" w:space="0" w:color="auto"/>
          </w:divBdr>
        </w:div>
        <w:div w:id="1580795680">
          <w:marLeft w:val="994"/>
          <w:marRight w:val="0"/>
          <w:marTop w:val="100"/>
          <w:marBottom w:val="100"/>
          <w:divBdr>
            <w:top w:val="none" w:sz="0" w:space="0" w:color="auto"/>
            <w:left w:val="none" w:sz="0" w:space="0" w:color="auto"/>
            <w:bottom w:val="none" w:sz="0" w:space="0" w:color="auto"/>
            <w:right w:val="none" w:sz="0" w:space="0" w:color="auto"/>
          </w:divBdr>
        </w:div>
        <w:div w:id="1703482392">
          <w:marLeft w:val="850"/>
          <w:marRight w:val="0"/>
          <w:marTop w:val="100"/>
          <w:marBottom w:val="100"/>
          <w:divBdr>
            <w:top w:val="none" w:sz="0" w:space="0" w:color="auto"/>
            <w:left w:val="none" w:sz="0" w:space="0" w:color="auto"/>
            <w:bottom w:val="none" w:sz="0" w:space="0" w:color="auto"/>
            <w:right w:val="none" w:sz="0" w:space="0" w:color="auto"/>
          </w:divBdr>
        </w:div>
        <w:div w:id="1798913689">
          <w:marLeft w:val="360"/>
          <w:marRight w:val="0"/>
          <w:marTop w:val="100"/>
          <w:marBottom w:val="100"/>
          <w:divBdr>
            <w:top w:val="none" w:sz="0" w:space="0" w:color="auto"/>
            <w:left w:val="none" w:sz="0" w:space="0" w:color="auto"/>
            <w:bottom w:val="none" w:sz="0" w:space="0" w:color="auto"/>
            <w:right w:val="none" w:sz="0" w:space="0" w:color="auto"/>
          </w:divBdr>
        </w:div>
        <w:div w:id="1801339442">
          <w:marLeft w:val="360"/>
          <w:marRight w:val="0"/>
          <w:marTop w:val="100"/>
          <w:marBottom w:val="10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633986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58186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9135404">
      <w:bodyDiv w:val="1"/>
      <w:marLeft w:val="0"/>
      <w:marRight w:val="0"/>
      <w:marTop w:val="0"/>
      <w:marBottom w:val="0"/>
      <w:divBdr>
        <w:top w:val="none" w:sz="0" w:space="0" w:color="auto"/>
        <w:left w:val="none" w:sz="0" w:space="0" w:color="auto"/>
        <w:bottom w:val="none" w:sz="0" w:space="0" w:color="auto"/>
        <w:right w:val="none" w:sz="0" w:space="0" w:color="auto"/>
      </w:divBdr>
    </w:div>
    <w:div w:id="2065786297">
      <w:bodyDiv w:val="1"/>
      <w:marLeft w:val="0"/>
      <w:marRight w:val="0"/>
      <w:marTop w:val="0"/>
      <w:marBottom w:val="0"/>
      <w:divBdr>
        <w:top w:val="none" w:sz="0" w:space="0" w:color="auto"/>
        <w:left w:val="none" w:sz="0" w:space="0" w:color="auto"/>
        <w:bottom w:val="none" w:sz="0" w:space="0" w:color="auto"/>
        <w:right w:val="none" w:sz="0" w:space="0" w:color="auto"/>
      </w:divBdr>
    </w:div>
    <w:div w:id="2085566788">
      <w:bodyDiv w:val="1"/>
      <w:marLeft w:val="0"/>
      <w:marRight w:val="0"/>
      <w:marTop w:val="0"/>
      <w:marBottom w:val="0"/>
      <w:divBdr>
        <w:top w:val="none" w:sz="0" w:space="0" w:color="auto"/>
        <w:left w:val="none" w:sz="0" w:space="0" w:color="auto"/>
        <w:bottom w:val="none" w:sz="0" w:space="0" w:color="auto"/>
        <w:right w:val="none" w:sz="0" w:space="0" w:color="auto"/>
      </w:divBdr>
    </w:div>
    <w:div w:id="21001033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onsumer.vic.gov.au/housing/specialist-disability-accommodation/" TargetMode="External" Id="rId13" /><Relationship Type="http://schemas.openxmlformats.org/officeDocument/2006/relationships/hyperlink" Target="https://www.consumer.vic.gov.au/housing/specialist-disability-accommodation/" TargetMode="External" Id="rId18" /><Relationship Type="http://schemas.openxmlformats.org/officeDocument/2006/relationships/hyperlink" Target="https://www.legislation.vic.gov.au/in-force/acts/disability-act-2006" TargetMode="External" Id="rId26" /><Relationship Type="http://schemas.openxmlformats.org/officeDocument/2006/relationships/hyperlink" Target="https://www.dffh.vic.gov.au/changes-residential-tenancies-act-1997"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consumer.vic.gov.au/housing/specialist-disability-accommodation/" TargetMode="External" Id="rId17" /><Relationship Type="http://schemas.openxmlformats.org/officeDocument/2006/relationships/hyperlink" Target="https://www.legislation.vic.gov.au/as-made/acts/disability-and-social-services-regulation-amendment-act-2023"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consumer.vic.gov.au/housing/specialist-disability-accommodation/" TargetMode="External" Id="rId16" /><Relationship Type="http://schemas.openxmlformats.org/officeDocument/2006/relationships/hyperlink" Target="https://www.consumer.vic.gov.au/housing/specialist-disability-accommodation/" TargetMode="External" Id="rId20" /><Relationship Type="http://schemas.openxmlformats.org/officeDocument/2006/relationships/hyperlink" Target="mailto:DisabilityActReview@dffh.vic.gov.au"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32" /><Relationship Type="http://schemas.microsoft.com/office/2020/10/relationships/intelligence" Target="intelligence2.xml" Id="rId37" /><Relationship Type="http://schemas.openxmlformats.org/officeDocument/2006/relationships/customXml" Target="../customXml/item5.xml" Id="rId5" /><Relationship Type="http://schemas.openxmlformats.org/officeDocument/2006/relationships/hyperlink" Target="https://www.consumer.vic.gov.au/housing/specialist-disability-accommodation/" TargetMode="External" Id="rId15" /><Relationship Type="http://schemas.openxmlformats.org/officeDocument/2006/relationships/hyperlink" Target="https://www.publicadvocate.vic.gov.au/your-rights/in-your-home/community-visitors" TargetMode="External" Id="rId23" /><Relationship Type="http://schemas.openxmlformats.org/officeDocument/2006/relationships/hyperlink" Target="https://www.legislation.vic.gov.au/in-force/acts/residential-tenancies-act-1997/104" TargetMode="External" Id="rId28" /><Relationship Type="http://schemas.microsoft.com/office/2019/05/relationships/documenttasks" Target="documenttasks/documenttasks1.xml" Id="rId36"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consumer.vic.gov.au/housing/specialist-disability-accommodation/" TargetMode="External" Id="rId14" /><Relationship Type="http://schemas.openxmlformats.org/officeDocument/2006/relationships/hyperlink" Target="https://www.consumer.vic.gov.au/housing/specialist-disability-accommodation/" TargetMode="External" Id="rId22" /><Relationship Type="http://schemas.openxmlformats.org/officeDocument/2006/relationships/hyperlink" Target="https://www.legislation.gov.au/C2013A00020/latest/text" TargetMode="External" Id="rId27" /><Relationship Type="http://schemas.openxmlformats.org/officeDocument/2006/relationships/hyperlink" Target="https://www.accesshub.gov.au/about-the-nrs" TargetMode="Externa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www.dffh.vic.gov.au/disability-and-social-services-regulation-amendment-act-2023" TargetMode="External" Id="Re0ab16ad2b9a4f1a" /><Relationship Type="http://schemas.openxmlformats.org/officeDocument/2006/relationships/hyperlink" Target="https://www.dffh.vic.gov.au/disability-and-social-services-regulation-amendment-act-2023" TargetMode="External" Id="Rf39f32b2defc45c5" /><Relationship Type="http://schemas.openxmlformats.org/officeDocument/2006/relationships/hyperlink" Target="https://www.dffh.vic.gov.au/disability-and-social-services-regulation-amendment-act-2023" TargetMode="External" Id="R8885b603cd714a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saa7\Downloads\DFFH%20CFCD%20report%20template.dotx" TargetMode="External"/></Relationships>
</file>

<file path=word/documenttasks/documenttasks1.xml><?xml version="1.0" encoding="utf-8"?>
<t:Tasks xmlns:t="http://schemas.microsoft.com/office/tasks/2019/documenttasks" xmlns:oel="http://schemas.microsoft.com/office/2019/extlst">
  <t:Task id="{19647FE5-2DD1-47D2-9728-0E5B760744D9}">
    <t:Anchor>
      <t:Comment id="414598737"/>
    </t:Anchor>
    <t:History>
      <t:Event id="{3B39CA94-FBE8-4837-B106-5AE61025D0EB}" time="2023-02-01T06:33:00.824Z">
        <t:Attribution userId="S::lorraine.langley@dffh.vic.gov.au::50f1ca9c-ae4b-4a6e-8696-742c310fdc4a" userProvider="AD" userName="Lorraine Langley (DFFH)"/>
        <t:Anchor>
          <t:Comment id="414598737"/>
        </t:Anchor>
        <t:Create/>
      </t:Event>
      <t:Event id="{20834E45-2B58-4B19-9083-1CEA052798C6}" time="2023-02-01T06:33:00.824Z">
        <t:Attribution userId="S::lorraine.langley@dffh.vic.gov.au::50f1ca9c-ae4b-4a6e-8696-742c310fdc4a" userProvider="AD" userName="Lorraine Langley (DFFH)"/>
        <t:Anchor>
          <t:Comment id="414598737"/>
        </t:Anchor>
        <t:Assign userId="S::christopher.brophy@dffh.vic.gov.au::769ba050-cd01-4c70-a1a1-6742f4bdc81d" userProvider="AD" userName="Christopher Brophy (DFFH)"/>
      </t:Event>
      <t:Event id="{A745F203-639F-40EC-875E-378A5B7CDB34}" time="2023-02-01T06:33:00.824Z">
        <t:Attribution userId="S::lorraine.langley@dffh.vic.gov.au::50f1ca9c-ae4b-4a6e-8696-742c310fdc4a" userProvider="AD" userName="Lorraine Langley (DFFH)"/>
        <t:Anchor>
          <t:Comment id="414598737"/>
        </t:Anchor>
        <t:SetTitle title="@Christopher Brophy (DFFH) @Leah Alperovich (DFFH) as discussed, suggest a short section goes in (above the summary of key themes against each part of the exp draft) to give a high level overview of feedback eg the majority of respondents indica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DFDB3CCA7CE54AA42F05FDFD5130DA" ma:contentTypeVersion="21" ma:contentTypeDescription="Create a new document." ma:contentTypeScope="" ma:versionID="a0610a58d46dc20836b007a048ce6e98">
  <xsd:schema xmlns:xsd="http://www.w3.org/2001/XMLSchema" xmlns:xs="http://www.w3.org/2001/XMLSchema" xmlns:p="http://schemas.microsoft.com/office/2006/metadata/properties" xmlns:ns2="6fcdb6e3-7bed-48bc-92a0-c164f79f5d9b" xmlns:ns3="7a38ff2d-9f71-4e0c-809c-63178b66e3a9" xmlns:ns4="5ce0f2b5-5be5-4508-bce9-d7011ece0659" targetNamespace="http://schemas.microsoft.com/office/2006/metadata/properties" ma:root="true" ma:fieldsID="9275fcc3a08bdaaef063a5f2785d72fd" ns2:_="" ns3:_="" ns4:_="">
    <xsd:import namespace="6fcdb6e3-7bed-48bc-92a0-c164f79f5d9b"/>
    <xsd:import namespace="7a38ff2d-9f71-4e0c-809c-63178b66e3a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p324e0109ac04cbe94cd02d7ece189e7" minOccurs="0"/>
                <xsd:element ref="ns2:_x0043_IC2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db6e3-7bed-48bc-92a0-c164f79f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324e0109ac04cbe94cd02d7ece189e7" ma:index="27" nillable="true" ma:taxonomy="true" ma:internalName="p324e0109ac04cbe94cd02d7ece189e7" ma:taxonomyFieldName="CIC" ma:displayName="CIC" ma:default="" ma:fieldId="{9324e010-9ac0-4cbe-94cd-02d7ece189e7}" ma:sspId="6e24e156-28e6-48ad-9c0f-4171595c9d94" ma:termSetId="7e5c6045-41cb-46b6-8d08-702c034f0027" ma:anchorId="569ca7c7-80e4-42e9-9d75-5ae29451dad5" ma:open="false" ma:isKeyword="false">
      <xsd:complexType>
        <xsd:sequence>
          <xsd:element ref="pc:Terms" minOccurs="0" maxOccurs="1"/>
        </xsd:sequence>
      </xsd:complexType>
    </xsd:element>
    <xsd:element name="_x0043_IC2023" ma:index="28" nillable="true" ma:displayName="CIC 2023" ma:format="RadioButtons" ma:internalName="_x0043_IC2023">
      <xsd:simpleType>
        <xsd:union memberTypes="dms:Text">
          <xsd:simpleType>
            <xsd:restriction base="dms:Choice">
              <xsd:enumeration value="CIC DI Bill - Permanent"/>
              <xsd:enumeration value="CIC DI Bill - Temporary"/>
              <xsd:enumeration value="CIC DSSRA - Permanent"/>
              <xsd:enumeration value="CIC DSSRA - Temporar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a38ff2d-9f71-4e0c-809c-63178b66e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80c4b8-86f7-4e0d-90e6-d90f29345cc9}" ma:internalName="TaxCatchAll" ma:showField="CatchAllData" ma:web="7a38ff2d-9f71-4e0c-809c-63178b66e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fcdb6e3-7bed-48bc-92a0-c164f79f5d9b">
      <Terms xmlns="http://schemas.microsoft.com/office/infopath/2007/PartnerControls"/>
    </lcf76f155ced4ddcb4097134ff3c332f>
    <SharedWithUsers xmlns="7a38ff2d-9f71-4e0c-809c-63178b66e3a9">
      <UserInfo>
        <DisplayName>SharingLinks.4f6edb66-cbbc-4faf-8ddc-b2fea1a3ffe8.OrganizationEdit.19202c93-ff38-4409-874c-e6adb143ba4a</DisplayName>
        <AccountId>290</AccountId>
        <AccountType/>
      </UserInfo>
      <UserInfo>
        <DisplayName>Bree Oliver (DFFH)</DisplayName>
        <AccountId>99</AccountId>
        <AccountType/>
      </UserInfo>
      <UserInfo>
        <DisplayName>Philip O'Meara (DFFH)</DisplayName>
        <AccountId>190</AccountId>
        <AccountType/>
      </UserInfo>
      <UserInfo>
        <DisplayName>Leah Alperovich (DFFH)</DisplayName>
        <AccountId>37</AccountId>
        <AccountType/>
      </UserInfo>
      <UserInfo>
        <DisplayName>Christopher Brophy (DFFH)</DisplayName>
        <AccountId>363</AccountId>
        <AccountType/>
      </UserInfo>
      <UserInfo>
        <DisplayName>Iman Hadi (DFFH)</DisplayName>
        <AccountId>10</AccountId>
        <AccountType/>
      </UserInfo>
      <UserInfo>
        <DisplayName>Christopher Fitzgerald (DFFH)</DisplayName>
        <AccountId>349</AccountId>
        <AccountType/>
      </UserInfo>
      <UserInfo>
        <DisplayName>Depsec DCEM (DFFH)</DisplayName>
        <AccountId>591</AccountId>
        <AccountType/>
      </UserInfo>
      <UserInfo>
        <DisplayName>Lorraine Langley (DFFH)</DisplayName>
        <AccountId>26</AccountId>
        <AccountType/>
      </UserInfo>
      <UserInfo>
        <DisplayName>Adam Finkelstein (DFFH)</DisplayName>
        <AccountId>716</AccountId>
        <AccountType/>
      </UserInfo>
      <UserInfo>
        <DisplayName>Trish Medved (DFFH)</DisplayName>
        <AccountId>542</AccountId>
        <AccountType/>
      </UserInfo>
      <UserInfo>
        <DisplayName>Sally Richardson (DFFH)</DisplayName>
        <AccountId>125</AccountId>
        <AccountType/>
      </UserInfo>
      <UserInfo>
        <DisplayName>Ashika Kanhai (DFFH)</DisplayName>
        <AccountId>49</AccountId>
        <AccountType/>
      </UserInfo>
      <UserInfo>
        <DisplayName>Faith Gamble (DFFH)</DisplayName>
        <AccountId>283</AccountId>
        <AccountType/>
      </UserInfo>
      <UserInfo>
        <DisplayName>Melissa Young (DFFH)</DisplayName>
        <AccountId>720</AccountId>
        <AccountType/>
      </UserInfo>
      <UserInfo>
        <DisplayName>Jo Fitton (DFFH)</DisplayName>
        <AccountId>765</AccountId>
        <AccountType/>
      </UserInfo>
      <UserInfo>
        <DisplayName>Lauren Adamson (DFFH)</DisplayName>
        <AccountId>677</AccountId>
        <AccountType/>
      </UserInfo>
      <UserInfo>
        <DisplayName>Sanchia Draper (DFFH)</DisplayName>
        <AccountId>771</AccountId>
        <AccountType/>
      </UserInfo>
      <UserInfo>
        <DisplayName>Liz Wade (DFFH)</DisplayName>
        <AccountId>791</AccountId>
        <AccountType/>
      </UserInfo>
      <UserInfo>
        <DisplayName>Jaymee McNaught (DFFH)</DisplayName>
        <AccountId>107</AccountId>
        <AccountType/>
      </UserInfo>
      <UserInfo>
        <DisplayName>Rebecca Lenten (DFFH)</DisplayName>
        <AccountId>46</AccountId>
        <AccountType/>
      </UserInfo>
      <UserInfo>
        <DisplayName>James MacIsaac (DFFH)</DisplayName>
        <AccountId>17</AccountId>
        <AccountType/>
      </UserInfo>
      <UserInfo>
        <DisplayName>Paul McGrady (DFFH)</DisplayName>
        <AccountId>21</AccountId>
        <AccountType/>
      </UserInfo>
      <UserInfo>
        <DisplayName>Tys van der Drift (DFFH)</DisplayName>
        <AccountId>91</AccountId>
        <AccountType/>
      </UserInfo>
      <UserInfo>
        <DisplayName>Anthony Perrin (DFFH)</DisplayName>
        <AccountId>12</AccountId>
        <AccountType/>
      </UserInfo>
      <UserInfo>
        <DisplayName>Alinta Koh (DFFH)</DisplayName>
        <AccountId>75</AccountId>
        <AccountType/>
      </UserInfo>
      <UserInfo>
        <DisplayName>Marhaini Hosni (DFFH)</DisplayName>
        <AccountId>24</AccountId>
        <AccountType/>
      </UserInfo>
      <UserInfo>
        <DisplayName>Lynley C Eavis (DFFH)</DisplayName>
        <AccountId>905</AccountId>
        <AccountType/>
      </UserInfo>
    </SharedWithUsers>
    <_x0043_IC2023 xmlns="6fcdb6e3-7bed-48bc-92a0-c164f79f5d9b" xsi:nil="true"/>
    <p324e0109ac04cbe94cd02d7ece189e7 xmlns="6fcdb6e3-7bed-48bc-92a0-c164f79f5d9b">
      <Terms xmlns="http://schemas.microsoft.com/office/infopath/2007/PartnerControls"/>
    </p324e0109ac04cbe94cd02d7ece189e7>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D882B4F-296A-484E-8AAF-289D1C24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db6e3-7bed-48bc-92a0-c164f79f5d9b"/>
    <ds:schemaRef ds:uri="7a38ff2d-9f71-4e0c-809c-63178b66e3a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E698FC4-42C5-4A8D-8465-E82DC82B0D39}">
  <ds:schemaRefs>
    <ds:schemaRef ds:uri="http://schemas.microsoft.com/sharepoint/v3/contenttype/forms"/>
  </ds:schemaRefs>
</ds:datastoreItem>
</file>

<file path=customXml/itemProps5.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fcdb6e3-7bed-48bc-92a0-c164f79f5d9b"/>
    <ds:schemaRef ds:uri="7a38ff2d-9f71-4e0c-809c-63178b66e3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DFFH CFCD report template.dotx</ap:Template>
  <ap:Application>Microsoft Word for the web</ap:Application>
  <ap:DocSecurity>4</ap:DocSecurity>
  <ap:ScaleCrop>false</ap:ScaleCrop>
  <ap:Company>Victoria State Government, Department of Familes,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changes to the Residential Tenancies Act 1997 - Disability and Social Services Regulation Amendment Act 2023</dc:title>
  <dc:subject>Overview of changes to the Residential Tenancies Act 1997 - Disability and Social Services Regulation Amendment Act 2023</dc:subject>
  <dc:creator>disabilityactreview@dffh.vic.gov.au</dc:creator>
  <cp:keywords>Disability Act 2006, legislation, summary, changes, residential, residential tenancies act 1997. disability act review</cp:keywords>
  <cp:revision>198</cp:revision>
  <cp:lastPrinted>2024-04-24T02:15:00Z</cp:lastPrinted>
  <dcterms:created xsi:type="dcterms:W3CDTF">2024-04-24T02:16:00Z</dcterms:created>
  <dcterms:modified xsi:type="dcterms:W3CDTF">2024-05-24T08:21:52Z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0x010100F0DFDB3CCA7CE54AA42F05FDFD5130DA</vt:lpwstr>
  </property>
  <property fmtid="{D5CDD505-2E9C-101B-9397-08002B2CF9AE}" pid="4" name="version">
    <vt:lpwstr>v5 16032021 sbv2 30042021</vt:lpwstr>
  </property>
  <property fmtid="{D5CDD505-2E9C-101B-9397-08002B2CF9AE}" pid="5" name="Documenttype">
    <vt:lpwstr>Template</vt:lpwstr>
  </property>
  <property fmtid="{D5CDD505-2E9C-101B-9397-08002B2CF9AE}" pid="6" name="Assignedto">
    <vt:lpwstr>NA</vt:lpwstr>
  </property>
  <property fmtid="{D5CDD505-2E9C-101B-9397-08002B2CF9AE}" pid="7" name="MediaServiceImageTags">
    <vt:lpwstr/>
  </property>
  <property fmtid="{D5CDD505-2E9C-101B-9397-08002B2CF9AE}" pid="8" name="GrammarlyDocumentId">
    <vt:lpwstr>834c1b91633ada0805cf8a43c918a9221c2f1a9ea866ac9174280b976c8350a5</vt:lpwstr>
  </property>
  <property fmtid="{D5CDD505-2E9C-101B-9397-08002B2CF9AE}" pid="9" name="SharedWithUsers">
    <vt:lpwstr>290;#SharingLinks.4f6edb66-cbbc-4faf-8ddc-b2fea1a3ffe8.OrganizationEdit.19202c93-ff38-4409-874c-e6adb143ba4a;#99;#Bree Oliver (DFFH);#190;#Philip O'Meara (DFFH);#37;#Leah Alperovich (DFFH);#363;#Christopher Brophy (DFFH);#10;#Iman Hadi (DFFH);#349;#Christopher Fitzgerald (DFFH);#591;#Depsec DCEM (DFFH);#26;#Lorraine Langley (DFFH)</vt:lpwstr>
  </property>
  <property fmtid="{D5CDD505-2E9C-101B-9397-08002B2CF9AE}" pid="10" name="MSIP_Label_43e64453-338c-4f93-8a4d-0039a0a41f2a_Enabled">
    <vt:lpwstr>true</vt:lpwstr>
  </property>
  <property fmtid="{D5CDD505-2E9C-101B-9397-08002B2CF9AE}" pid="11" name="MSIP_Label_43e64453-338c-4f93-8a4d-0039a0a41f2a_SetDate">
    <vt:lpwstr>2023-06-29T23:33:27Z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98571a77-4705-4ac9-913c-7ad560d7144c</vt:lpwstr>
  </property>
  <property fmtid="{D5CDD505-2E9C-101B-9397-08002B2CF9AE}" pid="16" name="MSIP_Label_43e64453-338c-4f93-8a4d-0039a0a41f2a_ContentBits">
    <vt:lpwstr>2</vt:lpwstr>
  </property>
  <property fmtid="{D5CDD505-2E9C-101B-9397-08002B2CF9AE}" pid="17" name="CIC">
    <vt:lpwstr/>
  </property>
</Properties>
</file>