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3DB24A84" w:rsidR="00056EC4" w:rsidRDefault="000C6DCE" w:rsidP="00056EC4">
      <w:pPr>
        <w:pStyle w:val="Body"/>
      </w:pPr>
      <w:r>
        <w:rPr>
          <w:noProof/>
        </w:rPr>
        <w:drawing>
          <wp:anchor distT="0" distB="0" distL="114300" distR="114300" simplePos="0" relativeHeight="251658240" behindDoc="1" locked="1" layoutInCell="1" allowOverlap="1" wp14:anchorId="7BE18DAE" wp14:editId="425E2FAD">
            <wp:simplePos x="0" y="0"/>
            <wp:positionH relativeFrom="page">
              <wp:posOffset>0</wp:posOffset>
            </wp:positionH>
            <wp:positionV relativeFrom="page">
              <wp:posOffset>0</wp:posOffset>
            </wp:positionV>
            <wp:extent cx="7560000" cy="10692000"/>
            <wp:effectExtent l="0" t="0" r="3175"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6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6663"/>
      </w:tblGrid>
      <w:tr w:rsidR="00AD784C" w14:paraId="18FF4B0B" w14:textId="77777777" w:rsidTr="000C6DCE">
        <w:trPr>
          <w:cantSplit/>
        </w:trPr>
        <w:tc>
          <w:tcPr>
            <w:tcW w:w="6663" w:type="dxa"/>
            <w:tcMar>
              <w:top w:w="0" w:type="dxa"/>
              <w:left w:w="0" w:type="dxa"/>
              <w:right w:w="0" w:type="dxa"/>
            </w:tcMar>
          </w:tcPr>
          <w:p w14:paraId="30E6956D" w14:textId="5888CA47" w:rsidR="00AD784C" w:rsidRPr="00431F42" w:rsidRDefault="00153B42" w:rsidP="00431F42">
            <w:pPr>
              <w:pStyle w:val="Documenttitle"/>
            </w:pPr>
            <w:r>
              <w:t>Human Services Regulator</w:t>
            </w:r>
            <w:r w:rsidR="00643674">
              <w:br/>
              <w:t>c</w:t>
            </w:r>
            <w:r w:rsidR="00950E29" w:rsidRPr="00950E29">
              <w:t>ompliance and enforcement policy</w:t>
            </w:r>
          </w:p>
        </w:tc>
      </w:tr>
      <w:tr w:rsidR="00AD784C" w14:paraId="246F9CB0" w14:textId="77777777" w:rsidTr="000C6DCE">
        <w:trPr>
          <w:cantSplit/>
        </w:trPr>
        <w:tc>
          <w:tcPr>
            <w:tcW w:w="6663" w:type="dxa"/>
          </w:tcPr>
          <w:p w14:paraId="14EEB3AC" w14:textId="612C6178" w:rsidR="00386109" w:rsidRPr="00A1389F" w:rsidRDefault="00386109" w:rsidP="009315BE">
            <w:pPr>
              <w:pStyle w:val="Documentsubtitle"/>
            </w:pPr>
          </w:p>
        </w:tc>
      </w:tr>
      <w:tr w:rsidR="00430393" w14:paraId="2AE57792" w14:textId="77777777" w:rsidTr="000C6DCE">
        <w:trPr>
          <w:cantSplit/>
        </w:trPr>
        <w:tc>
          <w:tcPr>
            <w:tcW w:w="6663" w:type="dxa"/>
          </w:tcPr>
          <w:p w14:paraId="68DABF30" w14:textId="77777777" w:rsidR="00430393" w:rsidRDefault="00000000" w:rsidP="00430393">
            <w:pPr>
              <w:pStyle w:val="Bannermarking"/>
            </w:pPr>
            <w:fldSimple w:instr=" FILLIN  &quot;Type the protective marking&quot; \d OFFICIAL \o  \* MERGEFORMAT ">
              <w:r w:rsidR="001A6272">
                <w:t>OFFICIAL</w:t>
              </w:r>
            </w:fldSimple>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172ED0">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titlePg/>
          <w:docGrid w:linePitch="360"/>
        </w:sectPr>
      </w:pPr>
    </w:p>
    <w:p w14:paraId="06C8CA07" w14:textId="7BB16A0B" w:rsidR="00DC03E1" w:rsidRDefault="00DC03E1">
      <w:pPr>
        <w:spacing w:after="0" w:line="240" w:lineRule="auto"/>
        <w:rPr>
          <w:rFonts w:eastAsia="Times"/>
        </w:rPr>
      </w:pPr>
      <w:r>
        <w:br w:type="page"/>
      </w:r>
    </w:p>
    <w:p w14:paraId="5510A38F" w14:textId="77777777" w:rsidR="00DC03E1" w:rsidRDefault="00DC03E1" w:rsidP="00950E29">
      <w:pPr>
        <w:pStyle w:val="Accessibilitypara"/>
      </w:pPr>
      <w:r>
        <w:lastRenderedPageBreak/>
        <w:t xml:space="preserve">To receive this document in another format, </w:t>
      </w:r>
      <w:hyperlink r:id="rId18" w:history="1">
        <w:r w:rsidRPr="00B72334">
          <w:rPr>
            <w:rStyle w:val="Hyperlink"/>
          </w:rPr>
          <w:t xml:space="preserve">email the Human Services Regulator </w:t>
        </w:r>
      </w:hyperlink>
      <w:r>
        <w:t>&lt;hsregulator@dffh.vic.gov.au&gt;.</w:t>
      </w:r>
    </w:p>
    <w:p w14:paraId="7A5F8B26" w14:textId="77777777" w:rsidR="00DC03E1" w:rsidRDefault="00DC03E1" w:rsidP="00950E29">
      <w:pPr>
        <w:pStyle w:val="Accessibilitypara"/>
      </w:pPr>
      <w:r>
        <w:t>Authorised and published by the Victorian Government, 1 Treasury Place, Melbourne.</w:t>
      </w:r>
    </w:p>
    <w:p w14:paraId="3E6A27B7" w14:textId="707F2929" w:rsidR="00DC03E1" w:rsidRDefault="00DC03E1" w:rsidP="00950E29">
      <w:pPr>
        <w:pStyle w:val="Accessibilitypara"/>
      </w:pPr>
      <w:r>
        <w:t xml:space="preserve">© State of Victoria, Australia, Department of Families, Fairness and Housing, </w:t>
      </w:r>
      <w:r w:rsidR="00AB5FE4">
        <w:t>January</w:t>
      </w:r>
      <w:r>
        <w:t xml:space="preserve"> 202</w:t>
      </w:r>
      <w:r w:rsidR="00AB5FE4">
        <w:t>3</w:t>
      </w:r>
      <w:r>
        <w:t>.</w:t>
      </w:r>
    </w:p>
    <w:p w14:paraId="09827B83" w14:textId="02511E06" w:rsidR="00DC03E1" w:rsidRDefault="00DC03E1" w:rsidP="00950E29">
      <w:pPr>
        <w:pStyle w:val="Accessibilitypara"/>
      </w:pPr>
      <w:r w:rsidRPr="00B72334">
        <w:t xml:space="preserve">ISBN </w:t>
      </w:r>
      <w:r w:rsidR="00AB5FE4" w:rsidRPr="00AB5FE4">
        <w:t>978-1-76130-080-6</w:t>
      </w:r>
      <w:r w:rsidR="00AB5FE4" w:rsidRPr="00AB5FE4">
        <w:t xml:space="preserve"> </w:t>
      </w:r>
      <w:r w:rsidRPr="00B72334">
        <w:t xml:space="preserve">(pdf/online/MS word) </w:t>
      </w:r>
    </w:p>
    <w:p w14:paraId="567F5163" w14:textId="3C39B828" w:rsidR="00DC03E1" w:rsidRPr="0055119B" w:rsidRDefault="00DC03E1" w:rsidP="00896171">
      <w:pPr>
        <w:pStyle w:val="Accessibilitypara"/>
      </w:pPr>
      <w:r>
        <w:t xml:space="preserve">Available at </w:t>
      </w:r>
      <w:hyperlink r:id="rId19" w:history="1">
        <w:r>
          <w:rPr>
            <w:rStyle w:val="Hyperlink"/>
          </w:rPr>
          <w:t>our website's Human Services Regulator page</w:t>
        </w:r>
      </w:hyperlink>
      <w:r>
        <w:t xml:space="preserve"> &lt;</w:t>
      </w:r>
      <w:r w:rsidRPr="00C24497">
        <w:t>https://www.d</w:t>
      </w:r>
      <w:r w:rsidR="00BC7311">
        <w:t>ffh</w:t>
      </w:r>
      <w:r w:rsidRPr="00C24497">
        <w:t>.vic.gov.au/human-services-regulator</w:t>
      </w:r>
      <w:r>
        <w:t>&gt;</w:t>
      </w:r>
    </w:p>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49E10B30" w14:textId="61CC52F1" w:rsidR="00166C59" w:rsidRDefault="00AD784C">
      <w:pPr>
        <w:pStyle w:val="TOC1"/>
        <w:rPr>
          <w:rFonts w:asciiTheme="minorHAnsi" w:eastAsiaTheme="minorEastAsia" w:hAnsiTheme="minorHAnsi" w:cstheme="minorBidi"/>
          <w:b w:val="0"/>
          <w:sz w:val="24"/>
          <w:szCs w:val="24"/>
          <w:lang w:eastAsia="en-GB"/>
        </w:rPr>
      </w:pPr>
      <w:r>
        <w:fldChar w:fldCharType="begin"/>
      </w:r>
      <w:r>
        <w:instrText xml:space="preserve"> TOC \h \z \t "Heading 1,1,Heading 2,2" </w:instrText>
      </w:r>
      <w:r>
        <w:fldChar w:fldCharType="separate"/>
      </w:r>
      <w:hyperlink w:anchor="_Toc83824867" w:history="1">
        <w:r w:rsidR="00166C59" w:rsidRPr="00A86BA7">
          <w:rPr>
            <w:rStyle w:val="Hyperlink"/>
          </w:rPr>
          <w:t>Purpose</w:t>
        </w:r>
        <w:r w:rsidR="00166C59">
          <w:rPr>
            <w:webHidden/>
          </w:rPr>
          <w:tab/>
        </w:r>
        <w:r w:rsidR="00166C59">
          <w:rPr>
            <w:webHidden/>
          </w:rPr>
          <w:fldChar w:fldCharType="begin"/>
        </w:r>
        <w:r w:rsidR="00166C59">
          <w:rPr>
            <w:webHidden/>
          </w:rPr>
          <w:instrText xml:space="preserve"> PAGEREF _Toc83824867 \h </w:instrText>
        </w:r>
        <w:r w:rsidR="00166C59">
          <w:rPr>
            <w:webHidden/>
          </w:rPr>
        </w:r>
        <w:r w:rsidR="00166C59">
          <w:rPr>
            <w:webHidden/>
          </w:rPr>
          <w:fldChar w:fldCharType="separate"/>
        </w:r>
        <w:r w:rsidR="00166C59">
          <w:rPr>
            <w:webHidden/>
          </w:rPr>
          <w:t>4</w:t>
        </w:r>
        <w:r w:rsidR="00166C59">
          <w:rPr>
            <w:webHidden/>
          </w:rPr>
          <w:fldChar w:fldCharType="end"/>
        </w:r>
      </w:hyperlink>
    </w:p>
    <w:p w14:paraId="59770554" w14:textId="005E105C" w:rsidR="00166C59" w:rsidRDefault="00000000">
      <w:pPr>
        <w:pStyle w:val="TOC1"/>
        <w:rPr>
          <w:rFonts w:asciiTheme="minorHAnsi" w:eastAsiaTheme="minorEastAsia" w:hAnsiTheme="minorHAnsi" w:cstheme="minorBidi"/>
          <w:b w:val="0"/>
          <w:sz w:val="24"/>
          <w:szCs w:val="24"/>
          <w:lang w:eastAsia="en-GB"/>
        </w:rPr>
      </w:pPr>
      <w:hyperlink w:anchor="_Toc83824868" w:history="1">
        <w:r w:rsidR="00166C59" w:rsidRPr="00A86BA7">
          <w:rPr>
            <w:rStyle w:val="Hyperlink"/>
          </w:rPr>
          <w:t>Scope</w:t>
        </w:r>
        <w:r w:rsidR="00166C59">
          <w:rPr>
            <w:webHidden/>
          </w:rPr>
          <w:tab/>
        </w:r>
        <w:r w:rsidR="00166C59">
          <w:rPr>
            <w:webHidden/>
          </w:rPr>
          <w:fldChar w:fldCharType="begin"/>
        </w:r>
        <w:r w:rsidR="00166C59">
          <w:rPr>
            <w:webHidden/>
          </w:rPr>
          <w:instrText xml:space="preserve"> PAGEREF _Toc83824868 \h </w:instrText>
        </w:r>
        <w:r w:rsidR="00166C59">
          <w:rPr>
            <w:webHidden/>
          </w:rPr>
        </w:r>
        <w:r w:rsidR="00166C59">
          <w:rPr>
            <w:webHidden/>
          </w:rPr>
          <w:fldChar w:fldCharType="separate"/>
        </w:r>
        <w:r w:rsidR="00166C59">
          <w:rPr>
            <w:webHidden/>
          </w:rPr>
          <w:t>4</w:t>
        </w:r>
        <w:r w:rsidR="00166C59">
          <w:rPr>
            <w:webHidden/>
          </w:rPr>
          <w:fldChar w:fldCharType="end"/>
        </w:r>
      </w:hyperlink>
    </w:p>
    <w:p w14:paraId="46146000" w14:textId="0268FF84" w:rsidR="00166C59" w:rsidRDefault="00000000">
      <w:pPr>
        <w:pStyle w:val="TOC1"/>
        <w:rPr>
          <w:rFonts w:asciiTheme="minorHAnsi" w:eastAsiaTheme="minorEastAsia" w:hAnsiTheme="minorHAnsi" w:cstheme="minorBidi"/>
          <w:b w:val="0"/>
          <w:sz w:val="24"/>
          <w:szCs w:val="24"/>
          <w:lang w:eastAsia="en-GB"/>
        </w:rPr>
      </w:pPr>
      <w:hyperlink w:anchor="_Toc83824869" w:history="1">
        <w:r w:rsidR="00166C59" w:rsidRPr="00A86BA7">
          <w:rPr>
            <w:rStyle w:val="Hyperlink"/>
          </w:rPr>
          <w:t>Role statement</w:t>
        </w:r>
        <w:r w:rsidR="00166C59">
          <w:rPr>
            <w:webHidden/>
          </w:rPr>
          <w:tab/>
        </w:r>
        <w:r w:rsidR="00166C59">
          <w:rPr>
            <w:webHidden/>
          </w:rPr>
          <w:fldChar w:fldCharType="begin"/>
        </w:r>
        <w:r w:rsidR="00166C59">
          <w:rPr>
            <w:webHidden/>
          </w:rPr>
          <w:instrText xml:space="preserve"> PAGEREF _Toc83824869 \h </w:instrText>
        </w:r>
        <w:r w:rsidR="00166C59">
          <w:rPr>
            <w:webHidden/>
          </w:rPr>
        </w:r>
        <w:r w:rsidR="00166C59">
          <w:rPr>
            <w:webHidden/>
          </w:rPr>
          <w:fldChar w:fldCharType="separate"/>
        </w:r>
        <w:r w:rsidR="00166C59">
          <w:rPr>
            <w:webHidden/>
          </w:rPr>
          <w:t>4</w:t>
        </w:r>
        <w:r w:rsidR="00166C59">
          <w:rPr>
            <w:webHidden/>
          </w:rPr>
          <w:fldChar w:fldCharType="end"/>
        </w:r>
      </w:hyperlink>
    </w:p>
    <w:p w14:paraId="16B3BCD7" w14:textId="5A7FA5BF" w:rsidR="00166C59" w:rsidRDefault="00000000">
      <w:pPr>
        <w:pStyle w:val="TOC1"/>
        <w:rPr>
          <w:rFonts w:asciiTheme="minorHAnsi" w:eastAsiaTheme="minorEastAsia" w:hAnsiTheme="minorHAnsi" w:cstheme="minorBidi"/>
          <w:b w:val="0"/>
          <w:sz w:val="24"/>
          <w:szCs w:val="24"/>
          <w:lang w:eastAsia="en-GB"/>
        </w:rPr>
      </w:pPr>
      <w:hyperlink w:anchor="_Toc83824870" w:history="1">
        <w:r w:rsidR="00166C59" w:rsidRPr="00A86BA7">
          <w:rPr>
            <w:rStyle w:val="Hyperlink"/>
          </w:rPr>
          <w:t>1. Who we are</w:t>
        </w:r>
        <w:r w:rsidR="00166C59">
          <w:rPr>
            <w:webHidden/>
          </w:rPr>
          <w:tab/>
        </w:r>
        <w:r w:rsidR="00166C59">
          <w:rPr>
            <w:webHidden/>
          </w:rPr>
          <w:fldChar w:fldCharType="begin"/>
        </w:r>
        <w:r w:rsidR="00166C59">
          <w:rPr>
            <w:webHidden/>
          </w:rPr>
          <w:instrText xml:space="preserve"> PAGEREF _Toc83824870 \h </w:instrText>
        </w:r>
        <w:r w:rsidR="00166C59">
          <w:rPr>
            <w:webHidden/>
          </w:rPr>
        </w:r>
        <w:r w:rsidR="00166C59">
          <w:rPr>
            <w:webHidden/>
          </w:rPr>
          <w:fldChar w:fldCharType="separate"/>
        </w:r>
        <w:r w:rsidR="00166C59">
          <w:rPr>
            <w:webHidden/>
          </w:rPr>
          <w:t>5</w:t>
        </w:r>
        <w:r w:rsidR="00166C59">
          <w:rPr>
            <w:webHidden/>
          </w:rPr>
          <w:fldChar w:fldCharType="end"/>
        </w:r>
      </w:hyperlink>
    </w:p>
    <w:p w14:paraId="0860399C" w14:textId="5EC2570E" w:rsidR="00166C59" w:rsidRDefault="00000000">
      <w:pPr>
        <w:pStyle w:val="TOC2"/>
        <w:rPr>
          <w:rFonts w:asciiTheme="minorHAnsi" w:eastAsiaTheme="minorEastAsia" w:hAnsiTheme="minorHAnsi" w:cstheme="minorBidi"/>
          <w:sz w:val="24"/>
          <w:szCs w:val="24"/>
          <w:lang w:eastAsia="en-GB"/>
        </w:rPr>
      </w:pPr>
      <w:hyperlink w:anchor="_Toc83824871" w:history="1">
        <w:r w:rsidR="00166C59" w:rsidRPr="00A86BA7">
          <w:rPr>
            <w:rStyle w:val="Hyperlink"/>
          </w:rPr>
          <w:t>Scope of our regulatory portfolio</w:t>
        </w:r>
        <w:r w:rsidR="00166C59">
          <w:rPr>
            <w:webHidden/>
          </w:rPr>
          <w:tab/>
        </w:r>
        <w:r w:rsidR="00166C59">
          <w:rPr>
            <w:webHidden/>
          </w:rPr>
          <w:fldChar w:fldCharType="begin"/>
        </w:r>
        <w:r w:rsidR="00166C59">
          <w:rPr>
            <w:webHidden/>
          </w:rPr>
          <w:instrText xml:space="preserve"> PAGEREF _Toc83824871 \h </w:instrText>
        </w:r>
        <w:r w:rsidR="00166C59">
          <w:rPr>
            <w:webHidden/>
          </w:rPr>
        </w:r>
        <w:r w:rsidR="00166C59">
          <w:rPr>
            <w:webHidden/>
          </w:rPr>
          <w:fldChar w:fldCharType="separate"/>
        </w:r>
        <w:r w:rsidR="00166C59">
          <w:rPr>
            <w:webHidden/>
          </w:rPr>
          <w:t>6</w:t>
        </w:r>
        <w:r w:rsidR="00166C59">
          <w:rPr>
            <w:webHidden/>
          </w:rPr>
          <w:fldChar w:fldCharType="end"/>
        </w:r>
      </w:hyperlink>
    </w:p>
    <w:p w14:paraId="6E8EBD4E" w14:textId="73ED13C2" w:rsidR="00166C59" w:rsidRDefault="00000000">
      <w:pPr>
        <w:pStyle w:val="TOC2"/>
        <w:rPr>
          <w:rFonts w:asciiTheme="minorHAnsi" w:eastAsiaTheme="minorEastAsia" w:hAnsiTheme="minorHAnsi" w:cstheme="minorBidi"/>
          <w:sz w:val="24"/>
          <w:szCs w:val="24"/>
          <w:lang w:eastAsia="en-GB"/>
        </w:rPr>
      </w:pPr>
      <w:hyperlink w:anchor="_Toc83824872" w:history="1">
        <w:r w:rsidR="00166C59" w:rsidRPr="00A86BA7">
          <w:rPr>
            <w:rStyle w:val="Hyperlink"/>
          </w:rPr>
          <w:t>Our expectation of duty holders</w:t>
        </w:r>
        <w:r w:rsidR="00166C59">
          <w:rPr>
            <w:webHidden/>
          </w:rPr>
          <w:tab/>
        </w:r>
        <w:r w:rsidR="00166C59">
          <w:rPr>
            <w:webHidden/>
          </w:rPr>
          <w:fldChar w:fldCharType="begin"/>
        </w:r>
        <w:r w:rsidR="00166C59">
          <w:rPr>
            <w:webHidden/>
          </w:rPr>
          <w:instrText xml:space="preserve"> PAGEREF _Toc83824872 \h </w:instrText>
        </w:r>
        <w:r w:rsidR="00166C59">
          <w:rPr>
            <w:webHidden/>
          </w:rPr>
        </w:r>
        <w:r w:rsidR="00166C59">
          <w:rPr>
            <w:webHidden/>
          </w:rPr>
          <w:fldChar w:fldCharType="separate"/>
        </w:r>
        <w:r w:rsidR="00166C59">
          <w:rPr>
            <w:webHidden/>
          </w:rPr>
          <w:t>9</w:t>
        </w:r>
        <w:r w:rsidR="00166C59">
          <w:rPr>
            <w:webHidden/>
          </w:rPr>
          <w:fldChar w:fldCharType="end"/>
        </w:r>
      </w:hyperlink>
    </w:p>
    <w:p w14:paraId="75015CE8" w14:textId="2990D0C4" w:rsidR="00166C59" w:rsidRDefault="00000000">
      <w:pPr>
        <w:pStyle w:val="TOC1"/>
        <w:rPr>
          <w:rFonts w:asciiTheme="minorHAnsi" w:eastAsiaTheme="minorEastAsia" w:hAnsiTheme="minorHAnsi" w:cstheme="minorBidi"/>
          <w:b w:val="0"/>
          <w:sz w:val="24"/>
          <w:szCs w:val="24"/>
          <w:lang w:eastAsia="en-GB"/>
        </w:rPr>
      </w:pPr>
      <w:hyperlink w:anchor="_Toc83824873" w:history="1">
        <w:r w:rsidR="00166C59" w:rsidRPr="00A86BA7">
          <w:rPr>
            <w:rStyle w:val="Hyperlink"/>
          </w:rPr>
          <w:t>2. Our regulatory toolkit</w:t>
        </w:r>
        <w:r w:rsidR="00166C59">
          <w:rPr>
            <w:webHidden/>
          </w:rPr>
          <w:tab/>
        </w:r>
        <w:r w:rsidR="00166C59">
          <w:rPr>
            <w:webHidden/>
          </w:rPr>
          <w:fldChar w:fldCharType="begin"/>
        </w:r>
        <w:r w:rsidR="00166C59">
          <w:rPr>
            <w:webHidden/>
          </w:rPr>
          <w:instrText xml:space="preserve"> PAGEREF _Toc83824873 \h </w:instrText>
        </w:r>
        <w:r w:rsidR="00166C59">
          <w:rPr>
            <w:webHidden/>
          </w:rPr>
        </w:r>
        <w:r w:rsidR="00166C59">
          <w:rPr>
            <w:webHidden/>
          </w:rPr>
          <w:fldChar w:fldCharType="separate"/>
        </w:r>
        <w:r w:rsidR="00166C59">
          <w:rPr>
            <w:webHidden/>
          </w:rPr>
          <w:t>10</w:t>
        </w:r>
        <w:r w:rsidR="00166C59">
          <w:rPr>
            <w:webHidden/>
          </w:rPr>
          <w:fldChar w:fldCharType="end"/>
        </w:r>
      </w:hyperlink>
    </w:p>
    <w:p w14:paraId="50562EFC" w14:textId="372F1126" w:rsidR="00166C59" w:rsidRDefault="00000000">
      <w:pPr>
        <w:pStyle w:val="TOC1"/>
        <w:rPr>
          <w:rFonts w:asciiTheme="minorHAnsi" w:eastAsiaTheme="minorEastAsia" w:hAnsiTheme="minorHAnsi" w:cstheme="minorBidi"/>
          <w:b w:val="0"/>
          <w:sz w:val="24"/>
          <w:szCs w:val="24"/>
          <w:lang w:eastAsia="en-GB"/>
        </w:rPr>
      </w:pPr>
      <w:hyperlink w:anchor="_Toc83824874" w:history="1">
        <w:r w:rsidR="00166C59" w:rsidRPr="00A86BA7">
          <w:rPr>
            <w:rStyle w:val="Hyperlink"/>
          </w:rPr>
          <w:t>3. Compliance monitoring and response to non-compliance</w:t>
        </w:r>
        <w:r w:rsidR="00166C59">
          <w:rPr>
            <w:webHidden/>
          </w:rPr>
          <w:tab/>
        </w:r>
        <w:r w:rsidR="00166C59">
          <w:rPr>
            <w:webHidden/>
          </w:rPr>
          <w:fldChar w:fldCharType="begin"/>
        </w:r>
        <w:r w:rsidR="00166C59">
          <w:rPr>
            <w:webHidden/>
          </w:rPr>
          <w:instrText xml:space="preserve"> PAGEREF _Toc83824874 \h </w:instrText>
        </w:r>
        <w:r w:rsidR="00166C59">
          <w:rPr>
            <w:webHidden/>
          </w:rPr>
        </w:r>
        <w:r w:rsidR="00166C59">
          <w:rPr>
            <w:webHidden/>
          </w:rPr>
          <w:fldChar w:fldCharType="separate"/>
        </w:r>
        <w:r w:rsidR="00166C59">
          <w:rPr>
            <w:webHidden/>
          </w:rPr>
          <w:t>12</w:t>
        </w:r>
        <w:r w:rsidR="00166C59">
          <w:rPr>
            <w:webHidden/>
          </w:rPr>
          <w:fldChar w:fldCharType="end"/>
        </w:r>
      </w:hyperlink>
    </w:p>
    <w:p w14:paraId="15555962" w14:textId="40F90678" w:rsidR="00166C59" w:rsidRDefault="00000000">
      <w:pPr>
        <w:pStyle w:val="TOC2"/>
        <w:rPr>
          <w:rFonts w:asciiTheme="minorHAnsi" w:eastAsiaTheme="minorEastAsia" w:hAnsiTheme="minorHAnsi" w:cstheme="minorBidi"/>
          <w:sz w:val="24"/>
          <w:szCs w:val="24"/>
          <w:lang w:eastAsia="en-GB"/>
        </w:rPr>
      </w:pPr>
      <w:hyperlink w:anchor="_Toc83824875" w:history="1">
        <w:r w:rsidR="00166C59" w:rsidRPr="00A86BA7">
          <w:rPr>
            <w:rStyle w:val="Hyperlink"/>
            <w:rFonts w:eastAsia="Arial"/>
          </w:rPr>
          <w:t>The HSR’s regulatory response to non-compliance</w:t>
        </w:r>
        <w:r w:rsidR="00166C59">
          <w:rPr>
            <w:webHidden/>
          </w:rPr>
          <w:tab/>
        </w:r>
        <w:r w:rsidR="00166C59">
          <w:rPr>
            <w:webHidden/>
          </w:rPr>
          <w:fldChar w:fldCharType="begin"/>
        </w:r>
        <w:r w:rsidR="00166C59">
          <w:rPr>
            <w:webHidden/>
          </w:rPr>
          <w:instrText xml:space="preserve"> PAGEREF _Toc83824875 \h </w:instrText>
        </w:r>
        <w:r w:rsidR="00166C59">
          <w:rPr>
            <w:webHidden/>
          </w:rPr>
        </w:r>
        <w:r w:rsidR="00166C59">
          <w:rPr>
            <w:webHidden/>
          </w:rPr>
          <w:fldChar w:fldCharType="separate"/>
        </w:r>
        <w:r w:rsidR="00166C59">
          <w:rPr>
            <w:webHidden/>
          </w:rPr>
          <w:t>12</w:t>
        </w:r>
        <w:r w:rsidR="00166C59">
          <w:rPr>
            <w:webHidden/>
          </w:rPr>
          <w:fldChar w:fldCharType="end"/>
        </w:r>
      </w:hyperlink>
    </w:p>
    <w:p w14:paraId="0652C44B" w14:textId="0FB126B1" w:rsidR="00166C59" w:rsidRDefault="00000000">
      <w:pPr>
        <w:pStyle w:val="TOC1"/>
        <w:rPr>
          <w:rFonts w:asciiTheme="minorHAnsi" w:eastAsiaTheme="minorEastAsia" w:hAnsiTheme="minorHAnsi" w:cstheme="minorBidi"/>
          <w:b w:val="0"/>
          <w:sz w:val="24"/>
          <w:szCs w:val="24"/>
          <w:lang w:eastAsia="en-GB"/>
        </w:rPr>
      </w:pPr>
      <w:hyperlink w:anchor="_Toc83824876" w:history="1">
        <w:r w:rsidR="00166C59" w:rsidRPr="00A86BA7">
          <w:rPr>
            <w:rStyle w:val="Hyperlink"/>
          </w:rPr>
          <w:t>4. Reviews and appeals</w:t>
        </w:r>
        <w:r w:rsidR="00166C59">
          <w:rPr>
            <w:webHidden/>
          </w:rPr>
          <w:tab/>
        </w:r>
        <w:r w:rsidR="00166C59">
          <w:rPr>
            <w:webHidden/>
          </w:rPr>
          <w:fldChar w:fldCharType="begin"/>
        </w:r>
        <w:r w:rsidR="00166C59">
          <w:rPr>
            <w:webHidden/>
          </w:rPr>
          <w:instrText xml:space="preserve"> PAGEREF _Toc83824876 \h </w:instrText>
        </w:r>
        <w:r w:rsidR="00166C59">
          <w:rPr>
            <w:webHidden/>
          </w:rPr>
        </w:r>
        <w:r w:rsidR="00166C59">
          <w:rPr>
            <w:webHidden/>
          </w:rPr>
          <w:fldChar w:fldCharType="separate"/>
        </w:r>
        <w:r w:rsidR="00166C59">
          <w:rPr>
            <w:webHidden/>
          </w:rPr>
          <w:t>17</w:t>
        </w:r>
        <w:r w:rsidR="00166C59">
          <w:rPr>
            <w:webHidden/>
          </w:rPr>
          <w:fldChar w:fldCharType="end"/>
        </w:r>
      </w:hyperlink>
    </w:p>
    <w:p w14:paraId="304133DC" w14:textId="6B95229B" w:rsidR="00166C59" w:rsidRDefault="00000000">
      <w:pPr>
        <w:pStyle w:val="TOC1"/>
        <w:rPr>
          <w:rFonts w:asciiTheme="minorHAnsi" w:eastAsiaTheme="minorEastAsia" w:hAnsiTheme="minorHAnsi" w:cstheme="minorBidi"/>
          <w:b w:val="0"/>
          <w:sz w:val="24"/>
          <w:szCs w:val="24"/>
          <w:lang w:eastAsia="en-GB"/>
        </w:rPr>
      </w:pPr>
      <w:hyperlink w:anchor="_Toc83824877" w:history="1">
        <w:r w:rsidR="00166C59" w:rsidRPr="00A86BA7">
          <w:rPr>
            <w:rStyle w:val="Hyperlink"/>
          </w:rPr>
          <w:t>Appendix A: Regulatory toolkit</w:t>
        </w:r>
        <w:r w:rsidR="00166C59">
          <w:rPr>
            <w:webHidden/>
          </w:rPr>
          <w:tab/>
        </w:r>
        <w:r w:rsidR="00166C59">
          <w:rPr>
            <w:webHidden/>
          </w:rPr>
          <w:fldChar w:fldCharType="begin"/>
        </w:r>
        <w:r w:rsidR="00166C59">
          <w:rPr>
            <w:webHidden/>
          </w:rPr>
          <w:instrText xml:space="preserve"> PAGEREF _Toc83824877 \h </w:instrText>
        </w:r>
        <w:r w:rsidR="00166C59">
          <w:rPr>
            <w:webHidden/>
          </w:rPr>
        </w:r>
        <w:r w:rsidR="00166C59">
          <w:rPr>
            <w:webHidden/>
          </w:rPr>
          <w:fldChar w:fldCharType="separate"/>
        </w:r>
        <w:r w:rsidR="00166C59">
          <w:rPr>
            <w:webHidden/>
          </w:rPr>
          <w:t>18</w:t>
        </w:r>
        <w:r w:rsidR="00166C59">
          <w:rPr>
            <w:webHidden/>
          </w:rPr>
          <w:fldChar w:fldCharType="end"/>
        </w:r>
      </w:hyperlink>
    </w:p>
    <w:p w14:paraId="506F44C1" w14:textId="17E643ED" w:rsidR="00166C59" w:rsidRDefault="00000000">
      <w:pPr>
        <w:pStyle w:val="TOC2"/>
        <w:rPr>
          <w:rFonts w:asciiTheme="minorHAnsi" w:eastAsiaTheme="minorEastAsia" w:hAnsiTheme="minorHAnsi" w:cstheme="minorBidi"/>
          <w:sz w:val="24"/>
          <w:szCs w:val="24"/>
          <w:lang w:eastAsia="en-GB"/>
        </w:rPr>
      </w:pPr>
      <w:hyperlink w:anchor="_Toc83824878" w:history="1">
        <w:r w:rsidR="00166C59" w:rsidRPr="00A86BA7">
          <w:rPr>
            <w:rStyle w:val="Hyperlink"/>
          </w:rPr>
          <w:t>Registration</w:t>
        </w:r>
        <w:r w:rsidR="00166C59">
          <w:rPr>
            <w:webHidden/>
          </w:rPr>
          <w:tab/>
        </w:r>
        <w:r w:rsidR="00166C59">
          <w:rPr>
            <w:webHidden/>
          </w:rPr>
          <w:fldChar w:fldCharType="begin"/>
        </w:r>
        <w:r w:rsidR="00166C59">
          <w:rPr>
            <w:webHidden/>
          </w:rPr>
          <w:instrText xml:space="preserve"> PAGEREF _Toc83824878 \h </w:instrText>
        </w:r>
        <w:r w:rsidR="00166C59">
          <w:rPr>
            <w:webHidden/>
          </w:rPr>
        </w:r>
        <w:r w:rsidR="00166C59">
          <w:rPr>
            <w:webHidden/>
          </w:rPr>
          <w:fldChar w:fldCharType="separate"/>
        </w:r>
        <w:r w:rsidR="00166C59">
          <w:rPr>
            <w:webHidden/>
          </w:rPr>
          <w:t>18</w:t>
        </w:r>
        <w:r w:rsidR="00166C59">
          <w:rPr>
            <w:webHidden/>
          </w:rPr>
          <w:fldChar w:fldCharType="end"/>
        </w:r>
      </w:hyperlink>
    </w:p>
    <w:p w14:paraId="57AD850A" w14:textId="09AC6181" w:rsidR="00166C59" w:rsidRDefault="00000000">
      <w:pPr>
        <w:pStyle w:val="TOC2"/>
        <w:rPr>
          <w:rFonts w:asciiTheme="minorHAnsi" w:eastAsiaTheme="minorEastAsia" w:hAnsiTheme="minorHAnsi" w:cstheme="minorBidi"/>
          <w:sz w:val="24"/>
          <w:szCs w:val="24"/>
          <w:lang w:eastAsia="en-GB"/>
        </w:rPr>
      </w:pPr>
      <w:hyperlink w:anchor="_Toc83824879" w:history="1">
        <w:r w:rsidR="00166C59" w:rsidRPr="00A86BA7">
          <w:rPr>
            <w:rStyle w:val="Hyperlink"/>
            <w:rFonts w:cs="Arial"/>
          </w:rPr>
          <w:t>Information gathering and ongoing compliance monitoring</w:t>
        </w:r>
        <w:r w:rsidR="00166C59">
          <w:rPr>
            <w:webHidden/>
          </w:rPr>
          <w:tab/>
        </w:r>
        <w:r w:rsidR="00166C59">
          <w:rPr>
            <w:webHidden/>
          </w:rPr>
          <w:fldChar w:fldCharType="begin"/>
        </w:r>
        <w:r w:rsidR="00166C59">
          <w:rPr>
            <w:webHidden/>
          </w:rPr>
          <w:instrText xml:space="preserve"> PAGEREF _Toc83824879 \h </w:instrText>
        </w:r>
        <w:r w:rsidR="00166C59">
          <w:rPr>
            <w:webHidden/>
          </w:rPr>
        </w:r>
        <w:r w:rsidR="00166C59">
          <w:rPr>
            <w:webHidden/>
          </w:rPr>
          <w:fldChar w:fldCharType="separate"/>
        </w:r>
        <w:r w:rsidR="00166C59">
          <w:rPr>
            <w:webHidden/>
          </w:rPr>
          <w:t>18</w:t>
        </w:r>
        <w:r w:rsidR="00166C59">
          <w:rPr>
            <w:webHidden/>
          </w:rPr>
          <w:fldChar w:fldCharType="end"/>
        </w:r>
      </w:hyperlink>
    </w:p>
    <w:p w14:paraId="36D5C42C" w14:textId="6BB9F417" w:rsidR="00166C59" w:rsidRDefault="00000000">
      <w:pPr>
        <w:pStyle w:val="TOC2"/>
        <w:rPr>
          <w:rFonts w:asciiTheme="minorHAnsi" w:eastAsiaTheme="minorEastAsia" w:hAnsiTheme="minorHAnsi" w:cstheme="minorBidi"/>
          <w:sz w:val="24"/>
          <w:szCs w:val="24"/>
          <w:lang w:eastAsia="en-GB"/>
        </w:rPr>
      </w:pPr>
      <w:hyperlink w:anchor="_Toc83824880" w:history="1">
        <w:r w:rsidR="00166C59" w:rsidRPr="00A86BA7">
          <w:rPr>
            <w:rStyle w:val="Hyperlink"/>
            <w:rFonts w:cs="Arial"/>
          </w:rPr>
          <w:t>Remedial actions</w:t>
        </w:r>
        <w:r w:rsidR="00166C59">
          <w:rPr>
            <w:webHidden/>
          </w:rPr>
          <w:tab/>
        </w:r>
        <w:r w:rsidR="00166C59">
          <w:rPr>
            <w:webHidden/>
          </w:rPr>
          <w:fldChar w:fldCharType="begin"/>
        </w:r>
        <w:r w:rsidR="00166C59">
          <w:rPr>
            <w:webHidden/>
          </w:rPr>
          <w:instrText xml:space="preserve"> PAGEREF _Toc83824880 \h </w:instrText>
        </w:r>
        <w:r w:rsidR="00166C59">
          <w:rPr>
            <w:webHidden/>
          </w:rPr>
        </w:r>
        <w:r w:rsidR="00166C59">
          <w:rPr>
            <w:webHidden/>
          </w:rPr>
          <w:fldChar w:fldCharType="separate"/>
        </w:r>
        <w:r w:rsidR="00166C59">
          <w:rPr>
            <w:webHidden/>
          </w:rPr>
          <w:t>19</w:t>
        </w:r>
        <w:r w:rsidR="00166C59">
          <w:rPr>
            <w:webHidden/>
          </w:rPr>
          <w:fldChar w:fldCharType="end"/>
        </w:r>
      </w:hyperlink>
    </w:p>
    <w:p w14:paraId="41D3A945" w14:textId="354027F9" w:rsidR="00166C59" w:rsidRDefault="00000000">
      <w:pPr>
        <w:pStyle w:val="TOC2"/>
        <w:rPr>
          <w:rFonts w:asciiTheme="minorHAnsi" w:eastAsiaTheme="minorEastAsia" w:hAnsiTheme="minorHAnsi" w:cstheme="minorBidi"/>
          <w:sz w:val="24"/>
          <w:szCs w:val="24"/>
          <w:lang w:eastAsia="en-GB"/>
        </w:rPr>
      </w:pPr>
      <w:hyperlink w:anchor="_Toc83824881" w:history="1">
        <w:r w:rsidR="00166C59" w:rsidRPr="00A86BA7">
          <w:rPr>
            <w:rStyle w:val="Hyperlink"/>
            <w:rFonts w:cs="Arial"/>
          </w:rPr>
          <w:t>Collaborative peer regulation</w:t>
        </w:r>
        <w:r w:rsidR="00166C59">
          <w:rPr>
            <w:webHidden/>
          </w:rPr>
          <w:tab/>
        </w:r>
        <w:r w:rsidR="00166C59">
          <w:rPr>
            <w:webHidden/>
          </w:rPr>
          <w:fldChar w:fldCharType="begin"/>
        </w:r>
        <w:r w:rsidR="00166C59">
          <w:rPr>
            <w:webHidden/>
          </w:rPr>
          <w:instrText xml:space="preserve"> PAGEREF _Toc83824881 \h </w:instrText>
        </w:r>
        <w:r w:rsidR="00166C59">
          <w:rPr>
            <w:webHidden/>
          </w:rPr>
        </w:r>
        <w:r w:rsidR="00166C59">
          <w:rPr>
            <w:webHidden/>
          </w:rPr>
          <w:fldChar w:fldCharType="separate"/>
        </w:r>
        <w:r w:rsidR="00166C59">
          <w:rPr>
            <w:webHidden/>
          </w:rPr>
          <w:t>20</w:t>
        </w:r>
        <w:r w:rsidR="00166C59">
          <w:rPr>
            <w:webHidden/>
          </w:rPr>
          <w:fldChar w:fldCharType="end"/>
        </w:r>
      </w:hyperlink>
    </w:p>
    <w:p w14:paraId="70119B5F" w14:textId="4EDAE1E4" w:rsidR="00166C59" w:rsidRDefault="00000000">
      <w:pPr>
        <w:pStyle w:val="TOC2"/>
        <w:rPr>
          <w:rFonts w:asciiTheme="minorHAnsi" w:eastAsiaTheme="minorEastAsia" w:hAnsiTheme="minorHAnsi" w:cstheme="minorBidi"/>
          <w:sz w:val="24"/>
          <w:szCs w:val="24"/>
          <w:lang w:eastAsia="en-GB"/>
        </w:rPr>
      </w:pPr>
      <w:hyperlink w:anchor="_Toc83824882" w:history="1">
        <w:r w:rsidR="00166C59" w:rsidRPr="00A86BA7">
          <w:rPr>
            <w:rStyle w:val="Hyperlink"/>
            <w:rFonts w:cs="Arial"/>
          </w:rPr>
          <w:t>Imposition of sanctions</w:t>
        </w:r>
        <w:r w:rsidR="00166C59">
          <w:rPr>
            <w:webHidden/>
          </w:rPr>
          <w:tab/>
        </w:r>
        <w:r w:rsidR="00166C59">
          <w:rPr>
            <w:webHidden/>
          </w:rPr>
          <w:fldChar w:fldCharType="begin"/>
        </w:r>
        <w:r w:rsidR="00166C59">
          <w:rPr>
            <w:webHidden/>
          </w:rPr>
          <w:instrText xml:space="preserve"> PAGEREF _Toc83824882 \h </w:instrText>
        </w:r>
        <w:r w:rsidR="00166C59">
          <w:rPr>
            <w:webHidden/>
          </w:rPr>
        </w:r>
        <w:r w:rsidR="00166C59">
          <w:rPr>
            <w:webHidden/>
          </w:rPr>
          <w:fldChar w:fldCharType="separate"/>
        </w:r>
        <w:r w:rsidR="00166C59">
          <w:rPr>
            <w:webHidden/>
          </w:rPr>
          <w:t>20</w:t>
        </w:r>
        <w:r w:rsidR="00166C59">
          <w:rPr>
            <w:webHidden/>
          </w:rPr>
          <w:fldChar w:fldCharType="end"/>
        </w:r>
      </w:hyperlink>
    </w:p>
    <w:p w14:paraId="6E828D83" w14:textId="4702E6DF" w:rsidR="00166C59" w:rsidRDefault="00000000">
      <w:pPr>
        <w:pStyle w:val="TOC1"/>
        <w:rPr>
          <w:rFonts w:asciiTheme="minorHAnsi" w:eastAsiaTheme="minorEastAsia" w:hAnsiTheme="minorHAnsi" w:cstheme="minorBidi"/>
          <w:b w:val="0"/>
          <w:sz w:val="24"/>
          <w:szCs w:val="24"/>
          <w:lang w:eastAsia="en-GB"/>
        </w:rPr>
      </w:pPr>
      <w:hyperlink w:anchor="_Toc83824883" w:history="1">
        <w:r w:rsidR="00166C59" w:rsidRPr="00A86BA7">
          <w:rPr>
            <w:rStyle w:val="Hyperlink"/>
          </w:rPr>
          <w:t>Appendix B: Image descriptions</w:t>
        </w:r>
        <w:r w:rsidR="00166C59">
          <w:rPr>
            <w:webHidden/>
          </w:rPr>
          <w:tab/>
        </w:r>
        <w:r w:rsidR="00166C59">
          <w:rPr>
            <w:webHidden/>
          </w:rPr>
          <w:fldChar w:fldCharType="begin"/>
        </w:r>
        <w:r w:rsidR="00166C59">
          <w:rPr>
            <w:webHidden/>
          </w:rPr>
          <w:instrText xml:space="preserve"> PAGEREF _Toc83824883 \h </w:instrText>
        </w:r>
        <w:r w:rsidR="00166C59">
          <w:rPr>
            <w:webHidden/>
          </w:rPr>
        </w:r>
        <w:r w:rsidR="00166C59">
          <w:rPr>
            <w:webHidden/>
          </w:rPr>
          <w:fldChar w:fldCharType="separate"/>
        </w:r>
        <w:r w:rsidR="00166C59">
          <w:rPr>
            <w:webHidden/>
          </w:rPr>
          <w:t>22</w:t>
        </w:r>
        <w:r w:rsidR="00166C59">
          <w:rPr>
            <w:webHidden/>
          </w:rPr>
          <w:fldChar w:fldCharType="end"/>
        </w:r>
      </w:hyperlink>
    </w:p>
    <w:p w14:paraId="217BBA20" w14:textId="15D1F728" w:rsidR="00166C59" w:rsidRDefault="00000000">
      <w:pPr>
        <w:pStyle w:val="TOC2"/>
        <w:rPr>
          <w:rFonts w:asciiTheme="minorHAnsi" w:eastAsiaTheme="minorEastAsia" w:hAnsiTheme="minorHAnsi" w:cstheme="minorBidi"/>
          <w:sz w:val="24"/>
          <w:szCs w:val="24"/>
          <w:lang w:eastAsia="en-GB"/>
        </w:rPr>
      </w:pPr>
      <w:hyperlink w:anchor="_Toc83824884" w:history="1">
        <w:r w:rsidR="00166C59" w:rsidRPr="00A86BA7">
          <w:rPr>
            <w:rStyle w:val="Hyperlink"/>
          </w:rPr>
          <w:t>Compliance activities emphasis</w:t>
        </w:r>
        <w:r w:rsidR="00166C59">
          <w:rPr>
            <w:webHidden/>
          </w:rPr>
          <w:tab/>
        </w:r>
        <w:r w:rsidR="00166C59">
          <w:rPr>
            <w:webHidden/>
          </w:rPr>
          <w:fldChar w:fldCharType="begin"/>
        </w:r>
        <w:r w:rsidR="00166C59">
          <w:rPr>
            <w:webHidden/>
          </w:rPr>
          <w:instrText xml:space="preserve"> PAGEREF _Toc83824884 \h </w:instrText>
        </w:r>
        <w:r w:rsidR="00166C59">
          <w:rPr>
            <w:webHidden/>
          </w:rPr>
        </w:r>
        <w:r w:rsidR="00166C59">
          <w:rPr>
            <w:webHidden/>
          </w:rPr>
          <w:fldChar w:fldCharType="separate"/>
        </w:r>
        <w:r w:rsidR="00166C59">
          <w:rPr>
            <w:webHidden/>
          </w:rPr>
          <w:t>22</w:t>
        </w:r>
        <w:r w:rsidR="00166C59">
          <w:rPr>
            <w:webHidden/>
          </w:rPr>
          <w:fldChar w:fldCharType="end"/>
        </w:r>
      </w:hyperlink>
    </w:p>
    <w:p w14:paraId="22A027E2" w14:textId="727CDAC3" w:rsidR="00166C59" w:rsidRDefault="00000000">
      <w:pPr>
        <w:pStyle w:val="TOC2"/>
        <w:rPr>
          <w:rFonts w:asciiTheme="minorHAnsi" w:eastAsiaTheme="minorEastAsia" w:hAnsiTheme="minorHAnsi" w:cstheme="minorBidi"/>
          <w:sz w:val="24"/>
          <w:szCs w:val="24"/>
          <w:lang w:eastAsia="en-GB"/>
        </w:rPr>
      </w:pPr>
      <w:hyperlink w:anchor="_Toc83824885" w:history="1">
        <w:r w:rsidR="00166C59" w:rsidRPr="00A86BA7">
          <w:rPr>
            <w:rStyle w:val="Hyperlink"/>
          </w:rPr>
          <w:t>Risk analysis matrix</w:t>
        </w:r>
        <w:r w:rsidR="00166C59">
          <w:rPr>
            <w:webHidden/>
          </w:rPr>
          <w:tab/>
        </w:r>
        <w:r w:rsidR="00166C59">
          <w:rPr>
            <w:webHidden/>
          </w:rPr>
          <w:fldChar w:fldCharType="begin"/>
        </w:r>
        <w:r w:rsidR="00166C59">
          <w:rPr>
            <w:webHidden/>
          </w:rPr>
          <w:instrText xml:space="preserve"> PAGEREF _Toc83824885 \h </w:instrText>
        </w:r>
        <w:r w:rsidR="00166C59">
          <w:rPr>
            <w:webHidden/>
          </w:rPr>
        </w:r>
        <w:r w:rsidR="00166C59">
          <w:rPr>
            <w:webHidden/>
          </w:rPr>
          <w:fldChar w:fldCharType="separate"/>
        </w:r>
        <w:r w:rsidR="00166C59">
          <w:rPr>
            <w:webHidden/>
          </w:rPr>
          <w:t>22</w:t>
        </w:r>
        <w:r w:rsidR="00166C59">
          <w:rPr>
            <w:webHidden/>
          </w:rPr>
          <w:fldChar w:fldCharType="end"/>
        </w:r>
      </w:hyperlink>
    </w:p>
    <w:p w14:paraId="42C49055" w14:textId="7526BCCD" w:rsidR="00FB1F6E" w:rsidRDefault="00AD784C" w:rsidP="00D079AA">
      <w:pPr>
        <w:pStyle w:val="Body"/>
      </w:pPr>
      <w:r>
        <w:fldChar w:fldCharType="end"/>
      </w:r>
    </w:p>
    <w:p w14:paraId="5E71211F" w14:textId="77777777" w:rsidR="00950E29" w:rsidRPr="00D54EB3" w:rsidRDefault="00FB1F6E" w:rsidP="00950E29">
      <w:pPr>
        <w:pStyle w:val="Heading1"/>
      </w:pPr>
      <w:r>
        <w:br w:type="page"/>
      </w:r>
      <w:bookmarkStart w:id="0" w:name="_Toc74671598"/>
      <w:bookmarkStart w:id="1" w:name="_Toc83824867"/>
      <w:r w:rsidR="00950E29" w:rsidRPr="00D54EB3">
        <w:lastRenderedPageBreak/>
        <w:t>Purpose</w:t>
      </w:r>
      <w:bookmarkEnd w:id="0"/>
      <w:bookmarkEnd w:id="1"/>
    </w:p>
    <w:p w14:paraId="5B54EB39" w14:textId="6343FBF4" w:rsidR="00F36630" w:rsidRDefault="00950E29" w:rsidP="00950E29">
      <w:pPr>
        <w:pStyle w:val="Body"/>
      </w:pPr>
      <w:r>
        <w:t xml:space="preserve">The purpose of this policy is to explain the Human Services Regulator’s (HSR) compliance and enforcement approach and expectations to external stakeholders, duty holders and client group representatives. </w:t>
      </w:r>
    </w:p>
    <w:tbl>
      <w:tblPr>
        <w:tblStyle w:val="HSRtable"/>
        <w:tblW w:w="9396" w:type="dxa"/>
        <w:tblBorders>
          <w:left w:val="single" w:sz="24" w:space="0" w:color="D50032"/>
          <w:insideH w:val="none" w:sz="0" w:space="0" w:color="auto"/>
          <w:insideV w:val="none" w:sz="0" w:space="0" w:color="auto"/>
        </w:tblBorders>
        <w:tblLook w:val="0480" w:firstRow="0" w:lastRow="0" w:firstColumn="1" w:lastColumn="0" w:noHBand="0" w:noVBand="1"/>
      </w:tblPr>
      <w:tblGrid>
        <w:gridCol w:w="9396"/>
      </w:tblGrid>
      <w:tr w:rsidR="00EA3CC7" w14:paraId="47C5D42D" w14:textId="77777777" w:rsidTr="00986DAD">
        <w:trPr>
          <w:trHeight w:val="1645"/>
        </w:trPr>
        <w:tc>
          <w:tcPr>
            <w:cnfStyle w:val="001000000000" w:firstRow="0" w:lastRow="0" w:firstColumn="1" w:lastColumn="0" w:oddVBand="0" w:evenVBand="0" w:oddHBand="0" w:evenHBand="0" w:firstRowFirstColumn="0" w:firstRowLastColumn="0" w:lastRowFirstColumn="0" w:lastRowLastColumn="0"/>
            <w:tcW w:w="9396" w:type="dxa"/>
            <w:tcBorders>
              <w:top w:val="none" w:sz="0" w:space="0" w:color="auto"/>
              <w:left w:val="single" w:sz="36" w:space="0" w:color="D50032"/>
              <w:bottom w:val="none" w:sz="0" w:space="0" w:color="auto"/>
              <w:right w:val="none" w:sz="0" w:space="0" w:color="auto"/>
              <w:tl2br w:val="none" w:sz="0" w:space="0" w:color="auto"/>
              <w:tr2bl w:val="none" w:sz="0" w:space="0" w:color="auto"/>
            </w:tcBorders>
          </w:tcPr>
          <w:p w14:paraId="78113908" w14:textId="2A769E0F" w:rsidR="00EA3CC7" w:rsidRDefault="00EA3CC7" w:rsidP="00E94DE6">
            <w:pPr>
              <w:pStyle w:val="Textboxbody"/>
              <w:pBdr>
                <w:top w:val="none" w:sz="0" w:space="0" w:color="auto"/>
                <w:left w:val="none" w:sz="0" w:space="0" w:color="auto"/>
                <w:bottom w:val="none" w:sz="0" w:space="0" w:color="auto"/>
                <w:right w:val="none" w:sz="0" w:space="0" w:color="auto"/>
              </w:pBdr>
            </w:pPr>
            <w:r w:rsidRPr="00B72334">
              <w:t xml:space="preserve">This document applies to the operations of the Human Services Regulator only. With the recent passage of the </w:t>
            </w:r>
            <w:r w:rsidRPr="00B72334">
              <w:rPr>
                <w:i/>
                <w:iCs/>
              </w:rPr>
              <w:t>Social Services Regulation Bill 2021</w:t>
            </w:r>
            <w:r w:rsidRPr="00B72334">
              <w:t>, we expect the Social Services Regulator to replace the HSR. We expect the new Social Services Regulator will issue its own statements about how it intends to exercise its regulatory powers under the new legislation. Any such statements will replace this document.</w:t>
            </w:r>
          </w:p>
        </w:tc>
      </w:tr>
    </w:tbl>
    <w:p w14:paraId="58FF0EDE" w14:textId="77777777" w:rsidR="00950E29" w:rsidRPr="00D54EB3" w:rsidRDefault="00950E29" w:rsidP="00950E29">
      <w:pPr>
        <w:pStyle w:val="Heading1"/>
      </w:pPr>
      <w:bookmarkStart w:id="2" w:name="_Toc25649873"/>
      <w:bookmarkStart w:id="3" w:name="_Toc74671599"/>
      <w:bookmarkStart w:id="4" w:name="_Toc83824868"/>
      <w:bookmarkStart w:id="5" w:name="_Toc25649872"/>
      <w:r w:rsidRPr="00D54EB3">
        <w:t>Scope</w:t>
      </w:r>
      <w:bookmarkEnd w:id="2"/>
      <w:bookmarkEnd w:id="3"/>
      <w:bookmarkEnd w:id="4"/>
    </w:p>
    <w:p w14:paraId="4BEA4B1E" w14:textId="77777777" w:rsidR="00950E29" w:rsidRPr="00D70F84" w:rsidRDefault="00950E29" w:rsidP="00950E29">
      <w:pPr>
        <w:pStyle w:val="Body"/>
      </w:pPr>
      <w:bookmarkStart w:id="6" w:name="_Toc25649874"/>
      <w:bookmarkEnd w:id="5"/>
      <w:r w:rsidRPr="60FB5349">
        <w:t xml:space="preserve">This policy covers </w:t>
      </w:r>
      <w:r w:rsidRPr="29D3626C">
        <w:t xml:space="preserve">the </w:t>
      </w:r>
      <w:r w:rsidRPr="60FB5349">
        <w:t>HSR’s</w:t>
      </w:r>
      <w:r w:rsidRPr="29D3626C">
        <w:t>:</w:t>
      </w:r>
    </w:p>
    <w:p w14:paraId="76508A06" w14:textId="77777777" w:rsidR="00950E29" w:rsidRPr="00752ECF" w:rsidRDefault="00950E29" w:rsidP="00950E29">
      <w:pPr>
        <w:pStyle w:val="Bullet1"/>
      </w:pPr>
      <w:r w:rsidRPr="005D6BED">
        <w:t xml:space="preserve">purpose and </w:t>
      </w:r>
      <w:r w:rsidRPr="0005681A">
        <w:t>role as a regulator</w:t>
      </w:r>
    </w:p>
    <w:p w14:paraId="0ACBF701" w14:textId="77777777" w:rsidR="00950E29" w:rsidRPr="00752ECF" w:rsidRDefault="00950E29" w:rsidP="00950E29">
      <w:pPr>
        <w:pStyle w:val="Bullet1"/>
      </w:pPr>
      <w:r w:rsidRPr="00752ECF">
        <w:t xml:space="preserve">approach to monitoring and supporting compliance </w:t>
      </w:r>
    </w:p>
    <w:p w14:paraId="4DCF875A" w14:textId="77777777" w:rsidR="00950E29" w:rsidRPr="00752ECF" w:rsidRDefault="00950E29" w:rsidP="00950E29">
      <w:pPr>
        <w:pStyle w:val="Bullet1"/>
      </w:pPr>
      <w:r w:rsidRPr="00752ECF">
        <w:t>approach to enforcement.</w:t>
      </w:r>
    </w:p>
    <w:p w14:paraId="2D88650F" w14:textId="77777777" w:rsidR="00950E29" w:rsidRDefault="00950E29" w:rsidP="00950E29">
      <w:pPr>
        <w:pStyle w:val="Heading1"/>
      </w:pPr>
      <w:bookmarkStart w:id="7" w:name="_Toc74671600"/>
      <w:bookmarkStart w:id="8" w:name="_Toc83824869"/>
      <w:r>
        <w:t>Role statement</w:t>
      </w:r>
      <w:bookmarkEnd w:id="7"/>
      <w:bookmarkEnd w:id="8"/>
    </w:p>
    <w:p w14:paraId="6499B05C" w14:textId="77777777" w:rsidR="00950E29" w:rsidRDefault="00950E29" w:rsidP="00950E29">
      <w:pPr>
        <w:pStyle w:val="Body"/>
      </w:pPr>
      <w:r w:rsidRPr="00736DDC">
        <w:t>The role</w:t>
      </w:r>
      <w:r w:rsidRPr="00736DDC">
        <w:rPr>
          <w:b/>
          <w:bCs/>
        </w:rPr>
        <w:t xml:space="preserve"> </w:t>
      </w:r>
      <w:r w:rsidRPr="00736DDC">
        <w:t xml:space="preserve">of the </w:t>
      </w:r>
      <w:r>
        <w:t>HSR</w:t>
      </w:r>
      <w:r w:rsidRPr="004C3A2C">
        <w:t xml:space="preserve"> is </w:t>
      </w:r>
      <w:r>
        <w:t xml:space="preserve">to regulate human services to minimise harm and to protect the safety and rights of children, young people and adults. </w:t>
      </w:r>
    </w:p>
    <w:p w14:paraId="770FB74C" w14:textId="77777777" w:rsidR="00950E29" w:rsidRDefault="00950E29" w:rsidP="00950E29">
      <w:pPr>
        <w:pStyle w:val="Bodyafterbullets"/>
      </w:pPr>
      <w:r>
        <w:t>HSR achieves this by:</w:t>
      </w:r>
    </w:p>
    <w:p w14:paraId="30F7E4CF" w14:textId="77777777" w:rsidR="00950E29" w:rsidRDefault="00950E29" w:rsidP="002F2641">
      <w:pPr>
        <w:pStyle w:val="Bodyafterbullets"/>
        <w:numPr>
          <w:ilvl w:val="0"/>
          <w:numId w:val="10"/>
        </w:numPr>
      </w:pPr>
      <w:r>
        <w:t>administering</w:t>
      </w:r>
      <w:r w:rsidRPr="004C3A2C">
        <w:t xml:space="preserve"> standards</w:t>
      </w:r>
    </w:p>
    <w:p w14:paraId="311198F7" w14:textId="77777777" w:rsidR="00950E29" w:rsidRDefault="00950E29" w:rsidP="002F2641">
      <w:pPr>
        <w:pStyle w:val="Bodyafterbullets"/>
        <w:numPr>
          <w:ilvl w:val="0"/>
          <w:numId w:val="10"/>
        </w:numPr>
      </w:pPr>
      <w:r w:rsidRPr="004C3A2C">
        <w:t xml:space="preserve">promoting </w:t>
      </w:r>
      <w:r>
        <w:t>good</w:t>
      </w:r>
      <w:r w:rsidRPr="004C3A2C">
        <w:t xml:space="preserve"> practice </w:t>
      </w:r>
    </w:p>
    <w:p w14:paraId="0B260550" w14:textId="77777777" w:rsidR="00950E29" w:rsidRDefault="00950E29" w:rsidP="002F2641">
      <w:pPr>
        <w:pStyle w:val="Bodyafterbullets"/>
        <w:numPr>
          <w:ilvl w:val="0"/>
          <w:numId w:val="10"/>
        </w:numPr>
      </w:pPr>
      <w:r w:rsidRPr="004C3A2C">
        <w:t>monitoring and enforcing compliance</w:t>
      </w:r>
      <w:r>
        <w:t xml:space="preserve"> with relevant laws, regulations and standards</w:t>
      </w:r>
    </w:p>
    <w:p w14:paraId="4CA68FC6" w14:textId="7A604F43" w:rsidR="00950E29" w:rsidRDefault="00950E29" w:rsidP="002F2641">
      <w:pPr>
        <w:pStyle w:val="Bodyafterbullets"/>
        <w:numPr>
          <w:ilvl w:val="0"/>
          <w:numId w:val="10"/>
        </w:numPr>
      </w:pPr>
      <w:r>
        <w:t>building relationships.</w:t>
      </w:r>
    </w:p>
    <w:p w14:paraId="5BCDB287" w14:textId="77777777" w:rsidR="00F36630" w:rsidRDefault="00F36630" w:rsidP="00F36630">
      <w:pPr>
        <w:pStyle w:val="Bodyafterbullets"/>
        <w:ind w:left="720"/>
      </w:pPr>
    </w:p>
    <w:tbl>
      <w:tblPr>
        <w:tblStyle w:val="HSRtable"/>
        <w:tblW w:w="9396" w:type="dxa"/>
        <w:tblBorders>
          <w:left w:val="single" w:sz="24" w:space="0" w:color="D50032"/>
          <w:insideH w:val="none" w:sz="0" w:space="0" w:color="auto"/>
          <w:insideV w:val="none" w:sz="0" w:space="0" w:color="auto"/>
        </w:tblBorders>
        <w:tblLook w:val="0480" w:firstRow="0" w:lastRow="0" w:firstColumn="1" w:lastColumn="0" w:noHBand="0" w:noVBand="1"/>
      </w:tblPr>
      <w:tblGrid>
        <w:gridCol w:w="9396"/>
      </w:tblGrid>
      <w:tr w:rsidR="001F337A" w14:paraId="415F3553" w14:textId="77777777" w:rsidTr="00896171">
        <w:trPr>
          <w:trHeight w:val="520"/>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single" w:sz="36" w:space="0" w:color="D50032"/>
              <w:bottom w:val="none" w:sz="0" w:space="0" w:color="auto"/>
              <w:right w:val="none" w:sz="0" w:space="0" w:color="auto"/>
              <w:tl2br w:val="none" w:sz="0" w:space="0" w:color="auto"/>
              <w:tr2bl w:val="none" w:sz="0" w:space="0" w:color="auto"/>
            </w:tcBorders>
          </w:tcPr>
          <w:p w14:paraId="6F058228" w14:textId="77777777" w:rsidR="001F337A" w:rsidRPr="00FD5AC5" w:rsidRDefault="001F337A" w:rsidP="00933E20">
            <w:pPr>
              <w:pStyle w:val="Textboxbody"/>
              <w:pBdr>
                <w:top w:val="none" w:sz="0" w:space="0" w:color="auto"/>
                <w:left w:val="none" w:sz="0" w:space="0" w:color="auto"/>
                <w:bottom w:val="none" w:sz="0" w:space="0" w:color="auto"/>
                <w:right w:val="none" w:sz="0" w:space="0" w:color="auto"/>
              </w:pBdr>
              <w:rPr>
                <w:b/>
                <w:bCs/>
              </w:rPr>
            </w:pPr>
            <w:bookmarkStart w:id="9" w:name="_Toc74671601"/>
            <w:bookmarkEnd w:id="6"/>
            <w:r w:rsidRPr="00752ECF">
              <w:rPr>
                <w:b/>
                <w:bCs/>
              </w:rPr>
              <w:t>What is ‘compliance and enforcement’?</w:t>
            </w:r>
          </w:p>
        </w:tc>
      </w:tr>
      <w:tr w:rsidR="001F337A" w14:paraId="75632B23" w14:textId="77777777" w:rsidTr="00896171">
        <w:trPr>
          <w:trHeight w:val="213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single" w:sz="36" w:space="0" w:color="D50032"/>
              <w:bottom w:val="none" w:sz="0" w:space="0" w:color="auto"/>
              <w:right w:val="none" w:sz="0" w:space="0" w:color="auto"/>
              <w:tl2br w:val="none" w:sz="0" w:space="0" w:color="auto"/>
              <w:tr2bl w:val="none" w:sz="0" w:space="0" w:color="auto"/>
            </w:tcBorders>
          </w:tcPr>
          <w:p w14:paraId="7C8D8BE3" w14:textId="77777777" w:rsidR="001F337A" w:rsidRPr="00752ECF" w:rsidRDefault="001F337A" w:rsidP="00933E20">
            <w:pPr>
              <w:pStyle w:val="Textboxbody"/>
              <w:pBdr>
                <w:top w:val="none" w:sz="0" w:space="0" w:color="auto"/>
                <w:left w:val="none" w:sz="0" w:space="0" w:color="auto"/>
                <w:bottom w:val="none" w:sz="0" w:space="0" w:color="auto"/>
                <w:right w:val="none" w:sz="0" w:space="0" w:color="auto"/>
              </w:pBdr>
            </w:pPr>
            <w:r w:rsidRPr="00494D87">
              <w:t>In this policy, ‘</w:t>
            </w:r>
            <w:r w:rsidRPr="00752ECF">
              <w:rPr>
                <w:b/>
                <w:bCs/>
              </w:rPr>
              <w:t>compliance</w:t>
            </w:r>
            <w:r w:rsidRPr="00752ECF">
              <w:t>’</w:t>
            </w:r>
            <w:r w:rsidRPr="00494D87">
              <w:t xml:space="preserve"> is defined as adherence to the legal requirements and obligations under the Acts, Regulations and Standards administered by the HSR.</w:t>
            </w:r>
            <w:r>
              <w:t xml:space="preserve"> </w:t>
            </w:r>
            <w:r w:rsidRPr="006C50B2">
              <w:t>Compliance is an ongoing process where people and businesses need to regularly assess their risk of non-compliance and seek to improve their methods and practices for eliminating or minimising those risks.</w:t>
            </w:r>
          </w:p>
          <w:p w14:paraId="5D3C8264" w14:textId="77777777" w:rsidR="001F337A" w:rsidRDefault="001F337A" w:rsidP="00933E20">
            <w:pPr>
              <w:pStyle w:val="Textboxbody"/>
              <w:pBdr>
                <w:top w:val="none" w:sz="0" w:space="0" w:color="auto"/>
                <w:left w:val="none" w:sz="0" w:space="0" w:color="auto"/>
                <w:bottom w:val="none" w:sz="0" w:space="0" w:color="auto"/>
                <w:right w:val="none" w:sz="0" w:space="0" w:color="auto"/>
              </w:pBdr>
            </w:pPr>
            <w:r w:rsidRPr="00752ECF">
              <w:t>‘</w:t>
            </w:r>
            <w:r w:rsidRPr="00752ECF">
              <w:rPr>
                <w:b/>
                <w:bCs/>
              </w:rPr>
              <w:t>Enforcement</w:t>
            </w:r>
            <w:r w:rsidRPr="006C50B2">
              <w:t>’ is the mechanism used by the HSR to respond to compliance issues and failures through influence, authority and statutory powers</w:t>
            </w:r>
            <w:r w:rsidRPr="00752ECF">
              <w:t>.</w:t>
            </w:r>
          </w:p>
        </w:tc>
      </w:tr>
    </w:tbl>
    <w:p w14:paraId="2CE6843C" w14:textId="77777777" w:rsidR="00950E29" w:rsidRPr="00752ECF" w:rsidRDefault="00950E29" w:rsidP="00950E29">
      <w:pPr>
        <w:pStyle w:val="Heading1"/>
      </w:pPr>
      <w:bookmarkStart w:id="10" w:name="_Toc83824870"/>
      <w:r w:rsidRPr="00752ECF">
        <w:lastRenderedPageBreak/>
        <w:t>1. Who we are</w:t>
      </w:r>
      <w:bookmarkEnd w:id="9"/>
      <w:bookmarkEnd w:id="10"/>
    </w:p>
    <w:p w14:paraId="226BBB74" w14:textId="55792847" w:rsidR="00950E29" w:rsidRDefault="00950E29" w:rsidP="00950E29">
      <w:pPr>
        <w:pStyle w:val="Body"/>
      </w:pPr>
      <w:r>
        <w:t xml:space="preserve">The Human Services Regulator (HSR) is a unit within the Department of Families, Fairness and Housing (the department). The HSR was established in the then Department of Health and Human Services in November 2017 to provide an integrated approach to regulating human services providers in Victoria within the regulatory portfolio described in </w:t>
      </w:r>
      <w:r w:rsidR="008A74AF">
        <w:fldChar w:fldCharType="begin"/>
      </w:r>
      <w:r w:rsidR="008A74AF">
        <w:instrText xml:space="preserve"> REF _Ref84383226 \h </w:instrText>
      </w:r>
      <w:r w:rsidR="008A74AF">
        <w:fldChar w:fldCharType="separate"/>
      </w:r>
      <w:r w:rsidR="008A74AF">
        <w:t xml:space="preserve">Table </w:t>
      </w:r>
      <w:r w:rsidR="008A74AF">
        <w:rPr>
          <w:noProof/>
        </w:rPr>
        <w:t>1</w:t>
      </w:r>
      <w:r w:rsidR="008A74AF">
        <w:fldChar w:fldCharType="end"/>
      </w:r>
      <w:r>
        <w:t>.</w:t>
      </w:r>
    </w:p>
    <w:p w14:paraId="691B5824" w14:textId="3A254114" w:rsidR="00BC7311" w:rsidRDefault="00BC7311" w:rsidP="00BC7311">
      <w:pPr>
        <w:pStyle w:val="Figurecaption"/>
      </w:pPr>
      <w:bookmarkStart w:id="11" w:name="_Ref84383226"/>
      <w:r>
        <w:t xml:space="preserve">Table </w:t>
      </w:r>
      <w:fldSimple w:instr=" SEQ Table \* ARABIC ">
        <w:r>
          <w:rPr>
            <w:noProof/>
          </w:rPr>
          <w:t>1</w:t>
        </w:r>
      </w:fldSimple>
      <w:bookmarkEnd w:id="11"/>
      <w:r>
        <w:t>: HSR regulatory portfolio</w:t>
      </w:r>
    </w:p>
    <w:tbl>
      <w:tblPr>
        <w:tblStyle w:val="HSRtable"/>
        <w:tblW w:w="9452" w:type="dxa"/>
        <w:tblLook w:val="04A0" w:firstRow="1" w:lastRow="0" w:firstColumn="1" w:lastColumn="0" w:noHBand="0" w:noVBand="1"/>
      </w:tblPr>
      <w:tblGrid>
        <w:gridCol w:w="9452"/>
      </w:tblGrid>
      <w:tr w:rsidR="003C124C" w14:paraId="5701D949" w14:textId="77777777" w:rsidTr="00C8359C">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9452" w:type="dxa"/>
          </w:tcPr>
          <w:p w14:paraId="30CA2BDF" w14:textId="77777777" w:rsidR="003C124C" w:rsidRDefault="003C124C" w:rsidP="00C8359C">
            <w:pPr>
              <w:pStyle w:val="Tablecolhead"/>
            </w:pPr>
            <w:r w:rsidRPr="004033E2">
              <w:t>HSR regulatory portfolio</w:t>
            </w:r>
          </w:p>
        </w:tc>
      </w:tr>
      <w:tr w:rsidR="003C124C" w14:paraId="1D356AA6" w14:textId="77777777" w:rsidTr="00C8359C">
        <w:trPr>
          <w:trHeight w:val="434"/>
        </w:trPr>
        <w:tc>
          <w:tcPr>
            <w:cnfStyle w:val="001000000000" w:firstRow="0" w:lastRow="0" w:firstColumn="1" w:lastColumn="0" w:oddVBand="0" w:evenVBand="0" w:oddHBand="0" w:evenHBand="0" w:firstRowFirstColumn="0" w:firstRowLastColumn="0" w:lastRowFirstColumn="0" w:lastRowLastColumn="0"/>
            <w:tcW w:w="9452" w:type="dxa"/>
            <w:tcBorders>
              <w:top w:val="single" w:sz="24" w:space="0" w:color="FFFFFF" w:themeColor="background1"/>
              <w:bottom w:val="single" w:sz="24" w:space="0" w:color="FFFFFF" w:themeColor="background1"/>
            </w:tcBorders>
          </w:tcPr>
          <w:p w14:paraId="7CF9A619" w14:textId="77777777" w:rsidR="003C124C" w:rsidRPr="00896171" w:rsidRDefault="003C124C" w:rsidP="00C8359C">
            <w:pPr>
              <w:pStyle w:val="Tabletext6pt"/>
              <w:rPr>
                <w:rStyle w:val="Strong"/>
              </w:rPr>
            </w:pPr>
            <w:r w:rsidRPr="00896171">
              <w:rPr>
                <w:rStyle w:val="Strong"/>
              </w:rPr>
              <w:t>Child Wellbeing and Safety Act 2005</w:t>
            </w:r>
          </w:p>
          <w:p w14:paraId="10661275" w14:textId="77777777" w:rsidR="003C124C" w:rsidRDefault="003C124C" w:rsidP="00C8359C">
            <w:pPr>
              <w:pStyle w:val="Tabletext6pt"/>
            </w:pPr>
            <w:r>
              <w:t>Support the Commission for Children and Young People to promote the safety of children, prevent child abuse and respond to allegations of abuse.</w:t>
            </w:r>
          </w:p>
          <w:p w14:paraId="36DED245" w14:textId="77777777" w:rsidR="003C124C" w:rsidRPr="00CD2C23" w:rsidRDefault="003C124C" w:rsidP="00C8359C">
            <w:pPr>
              <w:pStyle w:val="Tabletext6pt"/>
            </w:pPr>
            <w:r>
              <w:t>Oversee compliance with Child Safe Standards.</w:t>
            </w:r>
          </w:p>
        </w:tc>
      </w:tr>
      <w:tr w:rsidR="003C124C" w14:paraId="41227E17" w14:textId="77777777" w:rsidTr="00C8359C">
        <w:trPr>
          <w:trHeight w:val="434"/>
        </w:trPr>
        <w:tc>
          <w:tcPr>
            <w:cnfStyle w:val="001000000000" w:firstRow="0" w:lastRow="0" w:firstColumn="1" w:lastColumn="0" w:oddVBand="0" w:evenVBand="0" w:oddHBand="0" w:evenHBand="0" w:firstRowFirstColumn="0" w:firstRowLastColumn="0" w:lastRowFirstColumn="0" w:lastRowLastColumn="0"/>
            <w:tcW w:w="9452" w:type="dxa"/>
            <w:tcBorders>
              <w:top w:val="single" w:sz="24" w:space="0" w:color="FFFFFF" w:themeColor="background1"/>
              <w:bottom w:val="single" w:sz="24" w:space="0" w:color="FFFFFF" w:themeColor="background1"/>
            </w:tcBorders>
          </w:tcPr>
          <w:p w14:paraId="25492405" w14:textId="77777777" w:rsidR="003C124C" w:rsidRPr="00896171" w:rsidRDefault="003C124C" w:rsidP="00C8359C">
            <w:pPr>
              <w:pStyle w:val="Tabletext6pt"/>
              <w:rPr>
                <w:rStyle w:val="Strong"/>
              </w:rPr>
            </w:pPr>
            <w:r w:rsidRPr="00896171">
              <w:rPr>
                <w:rStyle w:val="Strong"/>
              </w:rPr>
              <w:t>Children, Youth and Families Act 2005</w:t>
            </w:r>
          </w:p>
          <w:p w14:paraId="01F792C3" w14:textId="77777777" w:rsidR="003C124C" w:rsidRDefault="003C124C" w:rsidP="00C8359C">
            <w:pPr>
              <w:pStyle w:val="Tabletext6pt"/>
            </w:pPr>
            <w:r>
              <w:t>Protect children and regulate community services that support children and families.</w:t>
            </w:r>
          </w:p>
          <w:p w14:paraId="11C5E622" w14:textId="77777777" w:rsidR="003C124C" w:rsidRDefault="003C124C" w:rsidP="00C8359C">
            <w:pPr>
              <w:pStyle w:val="Tabletext6pt"/>
            </w:pPr>
            <w:r>
              <w:t xml:space="preserve">Investigate allegations of sexual or physical abuse of children. </w:t>
            </w:r>
          </w:p>
          <w:p w14:paraId="701A6F08" w14:textId="77777777" w:rsidR="003C124C" w:rsidRPr="005D6BED" w:rsidRDefault="003C124C" w:rsidP="00C8359C">
            <w:pPr>
              <w:pStyle w:val="Tabletext6pt"/>
            </w:pPr>
            <w:r>
              <w:t>Oversee compliance with Human Services Standards.</w:t>
            </w:r>
          </w:p>
        </w:tc>
      </w:tr>
      <w:tr w:rsidR="003C124C" w14:paraId="5DBF0B26" w14:textId="77777777" w:rsidTr="00C8359C">
        <w:trPr>
          <w:trHeight w:val="367"/>
        </w:trPr>
        <w:tc>
          <w:tcPr>
            <w:cnfStyle w:val="001000000000" w:firstRow="0" w:lastRow="0" w:firstColumn="1" w:lastColumn="0" w:oddVBand="0" w:evenVBand="0" w:oddHBand="0" w:evenHBand="0" w:firstRowFirstColumn="0" w:firstRowLastColumn="0" w:lastRowFirstColumn="0" w:lastRowLastColumn="0"/>
            <w:tcW w:w="9452" w:type="dxa"/>
            <w:tcBorders>
              <w:top w:val="single" w:sz="24" w:space="0" w:color="FFFFFF" w:themeColor="background1"/>
              <w:bottom w:val="single" w:sz="24" w:space="0" w:color="FFFFFF" w:themeColor="background1"/>
            </w:tcBorders>
          </w:tcPr>
          <w:p w14:paraId="634C1FAE" w14:textId="77777777" w:rsidR="003C124C" w:rsidRPr="00896171" w:rsidRDefault="003C124C" w:rsidP="00C8359C">
            <w:pPr>
              <w:pStyle w:val="Tabletext6pt"/>
              <w:rPr>
                <w:rStyle w:val="Strong"/>
              </w:rPr>
            </w:pPr>
            <w:r w:rsidRPr="00896171">
              <w:rPr>
                <w:rStyle w:val="Strong"/>
              </w:rPr>
              <w:t>Disability Act 2006</w:t>
            </w:r>
          </w:p>
          <w:p w14:paraId="7A68428E" w14:textId="77777777" w:rsidR="003C124C" w:rsidRDefault="003C124C" w:rsidP="00C8359C">
            <w:pPr>
              <w:pStyle w:val="Tabletext6pt"/>
            </w:pPr>
            <w:r>
              <w:t>Promote and protect the rights of people accessing disability services.</w:t>
            </w:r>
          </w:p>
          <w:p w14:paraId="0CCE3474" w14:textId="77777777" w:rsidR="003C124C" w:rsidRPr="00B724F6" w:rsidRDefault="003C124C" w:rsidP="00C8359C">
            <w:pPr>
              <w:pStyle w:val="Tabletext6pt"/>
            </w:pPr>
            <w:r>
              <w:t>Oversee compliance with Human Services Standards.</w:t>
            </w:r>
          </w:p>
        </w:tc>
      </w:tr>
      <w:tr w:rsidR="003C124C" w14:paraId="61718709" w14:textId="77777777" w:rsidTr="00C8359C">
        <w:trPr>
          <w:trHeight w:val="354"/>
        </w:trPr>
        <w:tc>
          <w:tcPr>
            <w:cnfStyle w:val="001000000000" w:firstRow="0" w:lastRow="0" w:firstColumn="1" w:lastColumn="0" w:oddVBand="0" w:evenVBand="0" w:oddHBand="0" w:evenHBand="0" w:firstRowFirstColumn="0" w:firstRowLastColumn="0" w:lastRowFirstColumn="0" w:lastRowLastColumn="0"/>
            <w:tcW w:w="9452" w:type="dxa"/>
            <w:tcBorders>
              <w:top w:val="single" w:sz="24" w:space="0" w:color="FFFFFF" w:themeColor="background1"/>
            </w:tcBorders>
          </w:tcPr>
          <w:p w14:paraId="051B95D0" w14:textId="77777777" w:rsidR="003C124C" w:rsidRPr="00896171" w:rsidRDefault="003C124C" w:rsidP="00C8359C">
            <w:pPr>
              <w:pStyle w:val="Tabletext6pt"/>
              <w:rPr>
                <w:rStyle w:val="Strong"/>
              </w:rPr>
            </w:pPr>
            <w:r w:rsidRPr="00896171">
              <w:rPr>
                <w:rStyle w:val="Strong"/>
              </w:rPr>
              <w:t>Supported Residential Services (Private Proprietors</w:t>
            </w:r>
            <w:r>
              <w:rPr>
                <w:rStyle w:val="Strong"/>
              </w:rPr>
              <w:t>)</w:t>
            </w:r>
            <w:r w:rsidRPr="00896171">
              <w:rPr>
                <w:rStyle w:val="Strong"/>
              </w:rPr>
              <w:t xml:space="preserve"> Act 2010</w:t>
            </w:r>
          </w:p>
          <w:p w14:paraId="0E4EFA59" w14:textId="77777777" w:rsidR="003C124C" w:rsidRDefault="003C124C" w:rsidP="00C8359C">
            <w:pPr>
              <w:pStyle w:val="Tabletext6pt"/>
            </w:pPr>
            <w:r>
              <w:t>Protect the safety and wellbeing of residents.</w:t>
            </w:r>
          </w:p>
          <w:p w14:paraId="06E6DB23" w14:textId="77777777" w:rsidR="003C124C" w:rsidRPr="004F3269" w:rsidRDefault="003C124C" w:rsidP="00C8359C">
            <w:pPr>
              <w:pStyle w:val="Tabletext6pt"/>
              <w:rPr>
                <w:i/>
                <w:iCs/>
              </w:rPr>
            </w:pPr>
            <w:r>
              <w:t>Oversee compliance with Accommodation and Personal Support Standards.</w:t>
            </w:r>
          </w:p>
        </w:tc>
      </w:tr>
    </w:tbl>
    <w:p w14:paraId="5C04C9F1" w14:textId="77777777" w:rsidR="003C7243" w:rsidRDefault="003C7243">
      <w:pPr>
        <w:spacing w:after="0" w:line="240" w:lineRule="auto"/>
        <w:rPr>
          <w:rFonts w:eastAsia="Times"/>
        </w:rPr>
      </w:pPr>
      <w:bookmarkStart w:id="12" w:name="_Toc74671602"/>
      <w:bookmarkStart w:id="13" w:name="_Toc83824871"/>
      <w:r>
        <w:rPr>
          <w:rFonts w:eastAsia="Times"/>
          <w:b/>
        </w:rPr>
        <w:br w:type="page"/>
      </w:r>
    </w:p>
    <w:p w14:paraId="73FE19AB" w14:textId="5D2127E8" w:rsidR="00950E29" w:rsidRDefault="00950E29" w:rsidP="00950E29">
      <w:pPr>
        <w:pStyle w:val="Heading2"/>
      </w:pPr>
      <w:r>
        <w:lastRenderedPageBreak/>
        <w:t>Scope of our regulatory portfolio</w:t>
      </w:r>
      <w:bookmarkEnd w:id="12"/>
      <w:bookmarkEnd w:id="13"/>
    </w:p>
    <w:p w14:paraId="762BB146" w14:textId="77777777" w:rsidR="00950E29" w:rsidRPr="00B533FD" w:rsidRDefault="00950E29" w:rsidP="00950E29">
      <w:pPr>
        <w:pStyle w:val="Heading3"/>
      </w:pPr>
      <w:r w:rsidRPr="00B533FD">
        <w:t xml:space="preserve">The HSR regulates a range of </w:t>
      </w:r>
      <w:r>
        <w:t>duty holder</w:t>
      </w:r>
      <w:r w:rsidRPr="00B533FD">
        <w:t>s</w:t>
      </w:r>
    </w:p>
    <w:p w14:paraId="053CC9E3" w14:textId="11222E40" w:rsidR="00950E29" w:rsidRPr="00772B96" w:rsidRDefault="00950E29" w:rsidP="00950E29">
      <w:pPr>
        <w:pStyle w:val="Body"/>
        <w:rPr>
          <w:szCs w:val="21"/>
        </w:rPr>
      </w:pPr>
      <w:r w:rsidRPr="1CD2DDF4">
        <w:t xml:space="preserve">The HSR’s regulatory portfolio covers a variety of </w:t>
      </w:r>
      <w:r>
        <w:t>duty holder</w:t>
      </w:r>
      <w:r w:rsidRPr="1CD2DDF4">
        <w:t xml:space="preserve">s </w:t>
      </w:r>
      <w:r>
        <w:t>as outlined</w:t>
      </w:r>
      <w:r w:rsidRPr="1CD2DDF4">
        <w:t xml:space="preserve"> in </w:t>
      </w:r>
      <w:r w:rsidR="008A74AF">
        <w:fldChar w:fldCharType="begin"/>
      </w:r>
      <w:r w:rsidR="008A74AF">
        <w:instrText xml:space="preserve"> REF _Ref84383208 \h </w:instrText>
      </w:r>
      <w:r w:rsidR="008A74AF">
        <w:fldChar w:fldCharType="separate"/>
      </w:r>
      <w:r w:rsidR="008A74AF">
        <w:t xml:space="preserve">Table </w:t>
      </w:r>
      <w:r w:rsidR="008A74AF">
        <w:rPr>
          <w:noProof/>
        </w:rPr>
        <w:t>2</w:t>
      </w:r>
      <w:r w:rsidR="008A74AF">
        <w:fldChar w:fldCharType="end"/>
      </w:r>
      <w:r>
        <w:t xml:space="preserve">. </w:t>
      </w:r>
      <w:r w:rsidRPr="60FB5349">
        <w:t xml:space="preserve">A </w:t>
      </w:r>
      <w:r>
        <w:t>duty holder</w:t>
      </w:r>
      <w:r w:rsidRPr="00772B96">
        <w:rPr>
          <w:szCs w:val="21"/>
        </w:rPr>
        <w:t xml:space="preserve"> is an individual or organisation that:</w:t>
      </w:r>
    </w:p>
    <w:p w14:paraId="0819BBE5" w14:textId="39330C17" w:rsidR="00950E29" w:rsidRDefault="00950E29" w:rsidP="00950E29">
      <w:pPr>
        <w:pStyle w:val="Bullet1"/>
      </w:pPr>
      <w:r>
        <w:t>i</w:t>
      </w:r>
      <w:r w:rsidRPr="00772B96">
        <w:t>s registered under any Act within the HSR regulatory portfolio</w:t>
      </w:r>
      <w:r w:rsidRPr="00772B96">
        <w:rPr>
          <w:rStyle w:val="FootnoteReference"/>
          <w:rFonts w:cs="Arial"/>
          <w:szCs w:val="21"/>
        </w:rPr>
        <w:footnoteReference w:id="1"/>
      </w:r>
      <w:r w:rsidR="0059325B">
        <w:t xml:space="preserve"> </w:t>
      </w:r>
      <w:r>
        <w:t>or</w:t>
      </w:r>
    </w:p>
    <w:p w14:paraId="5E49FD08" w14:textId="7E7A0322" w:rsidR="00950E29" w:rsidRPr="00772B96" w:rsidRDefault="00950E29" w:rsidP="00950E29">
      <w:pPr>
        <w:pStyle w:val="Bullet1"/>
      </w:pPr>
      <w:r>
        <w:t>i</w:t>
      </w:r>
      <w:r w:rsidRPr="29B379D0">
        <w:t xml:space="preserve">s required to comply with Human Services Standards, Child Safe Standards or Supported Residential Services </w:t>
      </w:r>
      <w:r w:rsidR="00CE19A2" w:rsidRPr="00CE19A2">
        <w:t xml:space="preserve">Accommodation and Personal Support </w:t>
      </w:r>
      <w:r w:rsidRPr="29B379D0">
        <w:t>Standards.</w:t>
      </w:r>
      <w:r>
        <w:t xml:space="preserve"> </w:t>
      </w:r>
    </w:p>
    <w:p w14:paraId="577D08A0" w14:textId="77777777" w:rsidR="00950E29" w:rsidRPr="00930B0F" w:rsidRDefault="00950E29" w:rsidP="00950E29">
      <w:pPr>
        <w:pStyle w:val="Bodyafterbullets"/>
      </w:pPr>
      <w:r>
        <w:t>Duty holder</w:t>
      </w:r>
      <w:r w:rsidRPr="1CD2DDF4">
        <w:t>s include:</w:t>
      </w:r>
    </w:p>
    <w:p w14:paraId="72C0D177" w14:textId="77777777" w:rsidR="00950E29" w:rsidRPr="00234FB0" w:rsidRDefault="00950E29" w:rsidP="00950E29">
      <w:pPr>
        <w:pStyle w:val="Bullet1"/>
        <w:rPr>
          <w:rFonts w:eastAsia="Arial"/>
          <w:szCs w:val="21"/>
        </w:rPr>
      </w:pPr>
      <w:r>
        <w:t>o</w:t>
      </w:r>
      <w:r w:rsidRPr="1CD2DDF4">
        <w:t>rganisations and individuals</w:t>
      </w:r>
    </w:p>
    <w:p w14:paraId="6A30BF49" w14:textId="77777777" w:rsidR="00950E29" w:rsidRPr="00234FB0" w:rsidRDefault="00950E29" w:rsidP="00950E29">
      <w:pPr>
        <w:pStyle w:val="Bullet1"/>
        <w:rPr>
          <w:rFonts w:eastAsia="Arial"/>
          <w:szCs w:val="21"/>
        </w:rPr>
      </w:pPr>
      <w:r>
        <w:t>department-</w:t>
      </w:r>
      <w:r w:rsidRPr="00234FB0">
        <w:t>funded enterprises, privately operated entities or not-for-profit organisations.</w:t>
      </w:r>
    </w:p>
    <w:p w14:paraId="6B273380" w14:textId="76918D30" w:rsidR="00950E29" w:rsidRDefault="00950E29" w:rsidP="00950E29">
      <w:pPr>
        <w:pStyle w:val="Tablecaption"/>
      </w:pPr>
      <w:bookmarkStart w:id="14" w:name="_Ref84383208"/>
      <w:r>
        <w:t xml:space="preserve">Table </w:t>
      </w:r>
      <w:fldSimple w:instr=" SEQ Table \* ARABIC ">
        <w:r w:rsidR="00BC7311">
          <w:rPr>
            <w:noProof/>
          </w:rPr>
          <w:t>2</w:t>
        </w:r>
      </w:fldSimple>
      <w:bookmarkEnd w:id="14"/>
      <w:r>
        <w:t>: Human services duty holders</w:t>
      </w:r>
    </w:p>
    <w:tbl>
      <w:tblPr>
        <w:tblStyle w:val="TableGrid"/>
        <w:tblW w:w="0" w:type="auto"/>
        <w:tblLook w:val="04A0" w:firstRow="1" w:lastRow="0" w:firstColumn="1" w:lastColumn="0" w:noHBand="0" w:noVBand="1"/>
      </w:tblPr>
      <w:tblGrid>
        <w:gridCol w:w="4404"/>
        <w:gridCol w:w="4884"/>
      </w:tblGrid>
      <w:tr w:rsidR="002C7563" w14:paraId="0C222DCC" w14:textId="77777777" w:rsidTr="00223DC7">
        <w:trPr>
          <w:trHeight w:val="408"/>
          <w:tblHeader/>
        </w:trPr>
        <w:tc>
          <w:tcPr>
            <w:tcW w:w="4815" w:type="dxa"/>
            <w:shd w:val="clear" w:color="auto" w:fill="201547"/>
          </w:tcPr>
          <w:p w14:paraId="2A586B7F" w14:textId="77777777" w:rsidR="002C7563" w:rsidRDefault="002C7563" w:rsidP="00223DC7">
            <w:pPr>
              <w:pStyle w:val="Tablecolhead"/>
            </w:pPr>
            <w:r>
              <w:t>Human services providers</w:t>
            </w:r>
          </w:p>
        </w:tc>
        <w:tc>
          <w:tcPr>
            <w:tcW w:w="5379" w:type="dxa"/>
            <w:shd w:val="clear" w:color="auto" w:fill="201547"/>
          </w:tcPr>
          <w:p w14:paraId="1D20BDE8" w14:textId="77777777" w:rsidR="002C7563" w:rsidRDefault="002C7563" w:rsidP="00223DC7">
            <w:pPr>
              <w:pStyle w:val="Tablecolhead"/>
            </w:pPr>
            <w:r>
              <w:t>Example service</w:t>
            </w:r>
          </w:p>
        </w:tc>
      </w:tr>
      <w:tr w:rsidR="002C7563" w14:paraId="64603A53" w14:textId="77777777" w:rsidTr="00223DC7">
        <w:trPr>
          <w:trHeight w:val="500"/>
        </w:trPr>
        <w:tc>
          <w:tcPr>
            <w:tcW w:w="4815" w:type="dxa"/>
          </w:tcPr>
          <w:p w14:paraId="1643ADA6" w14:textId="77777777" w:rsidR="002C7563" w:rsidRPr="00A63641" w:rsidRDefault="002C7563" w:rsidP="00223DC7">
            <w:pPr>
              <w:pStyle w:val="Tabletext6pt"/>
              <w:rPr>
                <w:highlight w:val="yellow"/>
                <w:lang w:eastAsia="en-AU"/>
              </w:rPr>
            </w:pPr>
            <w:r>
              <w:t xml:space="preserve">Entities and individuals registered under the </w:t>
            </w:r>
            <w:r>
              <w:rPr>
                <w:i/>
                <w:iCs/>
              </w:rPr>
              <w:t xml:space="preserve">Children, Youth and Families Act 2005 </w:t>
            </w:r>
            <w:r w:rsidRPr="00F20237">
              <w:t>(</w:t>
            </w:r>
            <w:r w:rsidRPr="00921D0B">
              <w:rPr>
                <w:lang w:eastAsia="en-AU"/>
              </w:rPr>
              <w:t>registration, Human Services Standards and Victorian Carer Register, including section</w:t>
            </w:r>
            <w:r>
              <w:rPr>
                <w:lang w:eastAsia="en-AU"/>
              </w:rPr>
              <w:t>s</w:t>
            </w:r>
            <w:r w:rsidRPr="00921D0B">
              <w:rPr>
                <w:lang w:eastAsia="en-AU"/>
              </w:rPr>
              <w:t xml:space="preserve"> 81</w:t>
            </w:r>
            <w:r>
              <w:rPr>
                <w:lang w:eastAsia="en-AU"/>
              </w:rPr>
              <w:t xml:space="preserve"> and </w:t>
            </w:r>
            <w:r w:rsidRPr="00921D0B">
              <w:rPr>
                <w:lang w:eastAsia="en-AU"/>
              </w:rPr>
              <w:t xml:space="preserve">82 </w:t>
            </w:r>
            <w:r w:rsidRPr="0D6C167B">
              <w:rPr>
                <w:lang w:eastAsia="en-AU"/>
              </w:rPr>
              <w:t>reports</w:t>
            </w:r>
            <w:r w:rsidRPr="00921D0B">
              <w:rPr>
                <w:lang w:eastAsia="en-AU"/>
              </w:rPr>
              <w:t xml:space="preserve"> of </w:t>
            </w:r>
            <w:r w:rsidRPr="0D6C167B">
              <w:rPr>
                <w:lang w:eastAsia="en-AU"/>
              </w:rPr>
              <w:t>abuse) </w:t>
            </w:r>
          </w:p>
        </w:tc>
        <w:tc>
          <w:tcPr>
            <w:tcW w:w="5379" w:type="dxa"/>
          </w:tcPr>
          <w:p w14:paraId="3D69782C" w14:textId="77777777" w:rsidR="002C7563" w:rsidRDefault="002C7563" w:rsidP="00223DC7">
            <w:pPr>
              <w:pStyle w:val="Tablebullet1"/>
              <w:numPr>
                <w:ilvl w:val="0"/>
                <w:numId w:val="4"/>
              </w:numPr>
              <w:spacing w:before="80"/>
            </w:pPr>
            <w:r>
              <w:t xml:space="preserve">Community-based child and family services </w:t>
            </w:r>
          </w:p>
          <w:p w14:paraId="1233F2AC" w14:textId="77777777" w:rsidR="002C7563" w:rsidRDefault="002C7563" w:rsidP="00223DC7">
            <w:pPr>
              <w:pStyle w:val="Tablebullet1"/>
              <w:numPr>
                <w:ilvl w:val="0"/>
                <w:numId w:val="4"/>
              </w:numPr>
              <w:spacing w:before="80"/>
            </w:pPr>
            <w:r>
              <w:t>Out-of-home care such as residential care and foster care</w:t>
            </w:r>
          </w:p>
          <w:p w14:paraId="6DF17D49" w14:textId="77777777" w:rsidR="002C7563" w:rsidRDefault="002C7563" w:rsidP="00223DC7">
            <w:pPr>
              <w:pStyle w:val="Tablebullet1"/>
              <w:numPr>
                <w:ilvl w:val="0"/>
                <w:numId w:val="4"/>
              </w:numPr>
              <w:spacing w:before="80"/>
            </w:pPr>
            <w:r>
              <w:t>Family violence services</w:t>
            </w:r>
          </w:p>
        </w:tc>
      </w:tr>
      <w:tr w:rsidR="002C7563" w14:paraId="58489A98" w14:textId="77777777" w:rsidTr="00223DC7">
        <w:trPr>
          <w:trHeight w:val="500"/>
        </w:trPr>
        <w:tc>
          <w:tcPr>
            <w:tcW w:w="4815" w:type="dxa"/>
          </w:tcPr>
          <w:p w14:paraId="5AAA7611" w14:textId="77777777" w:rsidR="002C7563" w:rsidRPr="00F20237" w:rsidRDefault="002C7563" w:rsidP="00223DC7">
            <w:pPr>
              <w:pStyle w:val="Tabletext6pt"/>
            </w:pPr>
            <w:r>
              <w:t xml:space="preserve">Entities subject to the </w:t>
            </w:r>
            <w:r w:rsidRPr="00F13AC2">
              <w:rPr>
                <w:i/>
                <w:iCs/>
              </w:rPr>
              <w:t>Child Wellbeing and Safety Act 2005</w:t>
            </w:r>
            <w:r>
              <w:t xml:space="preserve"> (Child Safe Standards including the Reportable Conduct Scheme)</w:t>
            </w:r>
          </w:p>
        </w:tc>
        <w:tc>
          <w:tcPr>
            <w:tcW w:w="5379" w:type="dxa"/>
          </w:tcPr>
          <w:p w14:paraId="588043F0" w14:textId="77777777" w:rsidR="002C7563" w:rsidRDefault="002C7563" w:rsidP="00223DC7">
            <w:pPr>
              <w:pStyle w:val="Tablebullet1"/>
              <w:numPr>
                <w:ilvl w:val="0"/>
                <w:numId w:val="4"/>
              </w:numPr>
              <w:spacing w:before="80"/>
            </w:pPr>
            <w:r>
              <w:t>Out-of-home care such as residential care and foster care</w:t>
            </w:r>
          </w:p>
          <w:p w14:paraId="4BBB3F41" w14:textId="77777777" w:rsidR="002C7563" w:rsidRDefault="002C7563" w:rsidP="00223DC7">
            <w:pPr>
              <w:pStyle w:val="Tablebullet1"/>
              <w:numPr>
                <w:ilvl w:val="0"/>
                <w:numId w:val="4"/>
              </w:numPr>
              <w:spacing w:before="80"/>
            </w:pPr>
            <w:r>
              <w:t>Children and youth services</w:t>
            </w:r>
          </w:p>
          <w:p w14:paraId="69767E1F" w14:textId="77777777" w:rsidR="002C7563" w:rsidRDefault="002C7563" w:rsidP="00223DC7">
            <w:pPr>
              <w:pStyle w:val="Tablebullet1"/>
              <w:numPr>
                <w:ilvl w:val="0"/>
                <w:numId w:val="4"/>
              </w:numPr>
              <w:spacing w:before="80"/>
            </w:pPr>
            <w:r w:rsidRPr="00AD51BC">
              <w:t>Homelessness support services</w:t>
            </w:r>
          </w:p>
          <w:p w14:paraId="01D15F7B" w14:textId="77777777" w:rsidR="002C7563" w:rsidRDefault="002C7563" w:rsidP="00223DC7">
            <w:pPr>
              <w:pStyle w:val="Tablebullet1"/>
              <w:numPr>
                <w:ilvl w:val="0"/>
                <w:numId w:val="4"/>
              </w:numPr>
              <w:spacing w:before="80"/>
            </w:pPr>
            <w:r>
              <w:t>D</w:t>
            </w:r>
            <w:r w:rsidRPr="001E747B">
              <w:t>isability and family violence services</w:t>
            </w:r>
          </w:p>
        </w:tc>
      </w:tr>
      <w:tr w:rsidR="002C7563" w14:paraId="772A39F4" w14:textId="77777777" w:rsidTr="00223DC7">
        <w:trPr>
          <w:trHeight w:val="423"/>
        </w:trPr>
        <w:tc>
          <w:tcPr>
            <w:tcW w:w="4815" w:type="dxa"/>
          </w:tcPr>
          <w:p w14:paraId="745F99CD" w14:textId="77777777" w:rsidR="002C7563" w:rsidRPr="00B724F6" w:rsidRDefault="002C7563" w:rsidP="00223DC7">
            <w:pPr>
              <w:pStyle w:val="Tabletext6pt"/>
            </w:pPr>
            <w:r>
              <w:t xml:space="preserve">Entities and individuals registered under the </w:t>
            </w:r>
            <w:r>
              <w:rPr>
                <w:i/>
                <w:iCs/>
              </w:rPr>
              <w:t xml:space="preserve">Disability Act 2006 </w:t>
            </w:r>
            <w:r>
              <w:t>(registration, Human Services Standards)</w:t>
            </w:r>
          </w:p>
        </w:tc>
        <w:tc>
          <w:tcPr>
            <w:tcW w:w="5379" w:type="dxa"/>
          </w:tcPr>
          <w:p w14:paraId="129C437D" w14:textId="77777777" w:rsidR="002C7563" w:rsidRDefault="002C7563" w:rsidP="00223DC7">
            <w:pPr>
              <w:pStyle w:val="Tabletext6pt"/>
            </w:pPr>
            <w:r>
              <w:t>Disability service providers including:</w:t>
            </w:r>
          </w:p>
          <w:p w14:paraId="0FD5C930" w14:textId="77777777" w:rsidR="002C7563" w:rsidRPr="00233C0C" w:rsidRDefault="002C7563" w:rsidP="00223DC7">
            <w:pPr>
              <w:pStyle w:val="Tablebullet1"/>
              <w:numPr>
                <w:ilvl w:val="0"/>
                <w:numId w:val="4"/>
              </w:numPr>
              <w:spacing w:before="80"/>
            </w:pPr>
            <w:r w:rsidRPr="00395ABA">
              <w:t>Multiple and Complex Needs Initiative</w:t>
            </w:r>
            <w:r>
              <w:t xml:space="preserve"> services</w:t>
            </w:r>
          </w:p>
          <w:p w14:paraId="1793E173" w14:textId="77777777" w:rsidR="002C7563" w:rsidRDefault="002C7563" w:rsidP="00223DC7">
            <w:pPr>
              <w:pStyle w:val="Tablebullet1"/>
              <w:numPr>
                <w:ilvl w:val="0"/>
                <w:numId w:val="4"/>
              </w:numPr>
              <w:spacing w:before="80"/>
            </w:pPr>
            <w:r>
              <w:t>behaviour intervention services</w:t>
            </w:r>
          </w:p>
          <w:p w14:paraId="1F3CB64C" w14:textId="77777777" w:rsidR="002C7563" w:rsidRDefault="002C7563" w:rsidP="00223DC7">
            <w:pPr>
              <w:pStyle w:val="Tablebullet1"/>
              <w:numPr>
                <w:ilvl w:val="0"/>
                <w:numId w:val="4"/>
              </w:numPr>
              <w:spacing w:before="80"/>
            </w:pPr>
            <w:r>
              <w:t>supported accommodation services</w:t>
            </w:r>
          </w:p>
        </w:tc>
      </w:tr>
      <w:tr w:rsidR="002C7563" w14:paraId="42FEB215" w14:textId="77777777" w:rsidTr="00223DC7">
        <w:trPr>
          <w:trHeight w:val="408"/>
        </w:trPr>
        <w:tc>
          <w:tcPr>
            <w:tcW w:w="4815" w:type="dxa"/>
          </w:tcPr>
          <w:p w14:paraId="29FE3642" w14:textId="77777777" w:rsidR="002C7563" w:rsidRPr="004F3269" w:rsidRDefault="002C7563" w:rsidP="00223DC7">
            <w:pPr>
              <w:pStyle w:val="Tabletext6pt"/>
            </w:pPr>
            <w:r>
              <w:t xml:space="preserve">Proprietors registered under the </w:t>
            </w:r>
            <w:r w:rsidRPr="00CB5157">
              <w:rPr>
                <w:i/>
                <w:iCs/>
              </w:rPr>
              <w:t>Supported Residential Services (Private Proprietors) Act 2010</w:t>
            </w:r>
          </w:p>
        </w:tc>
        <w:tc>
          <w:tcPr>
            <w:tcW w:w="5379" w:type="dxa"/>
          </w:tcPr>
          <w:p w14:paraId="18745C1E" w14:textId="77777777" w:rsidR="002C7563" w:rsidRDefault="002C7563" w:rsidP="00223DC7">
            <w:pPr>
              <w:pStyle w:val="Tabletext6pt"/>
            </w:pPr>
            <w:r>
              <w:t>Privately operated services that provide accommodation and personal support for people of different ages and support needs</w:t>
            </w:r>
          </w:p>
        </w:tc>
      </w:tr>
      <w:tr w:rsidR="002C7563" w14:paraId="45B1D06C" w14:textId="77777777" w:rsidTr="00223DC7">
        <w:trPr>
          <w:trHeight w:val="408"/>
        </w:trPr>
        <w:tc>
          <w:tcPr>
            <w:tcW w:w="4815" w:type="dxa"/>
          </w:tcPr>
          <w:p w14:paraId="40029889" w14:textId="77777777" w:rsidR="002C7563" w:rsidRDefault="002C7563" w:rsidP="00223DC7">
            <w:pPr>
              <w:pStyle w:val="Tabletext6pt"/>
            </w:pPr>
            <w:r>
              <w:t>Government-funded entities and individuals that do not need registration and provide services covered by the Human Services Standards</w:t>
            </w:r>
          </w:p>
        </w:tc>
        <w:tc>
          <w:tcPr>
            <w:tcW w:w="5379" w:type="dxa"/>
          </w:tcPr>
          <w:p w14:paraId="3EA28F7E" w14:textId="77777777" w:rsidR="002C7563" w:rsidRPr="00AD51BC" w:rsidRDefault="002C7563" w:rsidP="00223DC7">
            <w:pPr>
              <w:pStyle w:val="Tablebullet1"/>
              <w:numPr>
                <w:ilvl w:val="0"/>
                <w:numId w:val="4"/>
              </w:numPr>
              <w:spacing w:before="80"/>
            </w:pPr>
            <w:r w:rsidRPr="00AD51BC">
              <w:t>Homelessness support services</w:t>
            </w:r>
          </w:p>
          <w:p w14:paraId="7D67B8CD" w14:textId="77777777" w:rsidR="002C7563" w:rsidRDefault="002C7563" w:rsidP="00223DC7">
            <w:pPr>
              <w:pStyle w:val="Tablebullet1"/>
              <w:numPr>
                <w:ilvl w:val="0"/>
                <w:numId w:val="4"/>
              </w:numPr>
              <w:spacing w:before="80"/>
            </w:pPr>
            <w:r w:rsidRPr="00AD51BC">
              <w:t>Some children, youth and famil</w:t>
            </w:r>
            <w:r>
              <w:t>y services</w:t>
            </w:r>
          </w:p>
          <w:p w14:paraId="0F297D1F" w14:textId="77777777" w:rsidR="002C7563" w:rsidRDefault="002C7563" w:rsidP="00223DC7">
            <w:pPr>
              <w:pStyle w:val="Tablebullet1"/>
              <w:numPr>
                <w:ilvl w:val="0"/>
                <w:numId w:val="4"/>
              </w:numPr>
              <w:spacing w:before="80"/>
            </w:pPr>
            <w:r>
              <w:t xml:space="preserve">Some </w:t>
            </w:r>
            <w:r w:rsidRPr="001E747B">
              <w:t>disability and family violence services</w:t>
            </w:r>
          </w:p>
        </w:tc>
      </w:tr>
      <w:tr w:rsidR="002C7563" w14:paraId="6CAB6952" w14:textId="77777777" w:rsidTr="00223DC7">
        <w:trPr>
          <w:trHeight w:val="408"/>
        </w:trPr>
        <w:tc>
          <w:tcPr>
            <w:tcW w:w="4815" w:type="dxa"/>
          </w:tcPr>
          <w:p w14:paraId="5195A7FC" w14:textId="77777777" w:rsidR="002C7563" w:rsidRDefault="002C7563" w:rsidP="00223DC7">
            <w:pPr>
              <w:pStyle w:val="Tabletext6pt"/>
            </w:pPr>
            <w:r>
              <w:t>Services directly provided by the department</w:t>
            </w:r>
          </w:p>
        </w:tc>
        <w:tc>
          <w:tcPr>
            <w:tcW w:w="5379" w:type="dxa"/>
          </w:tcPr>
          <w:p w14:paraId="755A45D6" w14:textId="77777777" w:rsidR="002C7563" w:rsidRDefault="002C7563" w:rsidP="00223DC7">
            <w:pPr>
              <w:pStyle w:val="Tablebullet1"/>
              <w:numPr>
                <w:ilvl w:val="0"/>
                <w:numId w:val="4"/>
              </w:numPr>
              <w:spacing w:before="80"/>
            </w:pPr>
            <w:r>
              <w:t>Disability client services</w:t>
            </w:r>
          </w:p>
          <w:p w14:paraId="23361409" w14:textId="77777777" w:rsidR="002C7563" w:rsidRDefault="002C7563" w:rsidP="00223DC7">
            <w:pPr>
              <w:pStyle w:val="Tablebullet1"/>
              <w:numPr>
                <w:ilvl w:val="0"/>
                <w:numId w:val="4"/>
              </w:numPr>
              <w:spacing w:before="80"/>
            </w:pPr>
            <w:r>
              <w:t>Residential out-of-home care</w:t>
            </w:r>
          </w:p>
        </w:tc>
      </w:tr>
    </w:tbl>
    <w:p w14:paraId="6491F2AB" w14:textId="77777777" w:rsidR="002F2641" w:rsidRDefault="002F2641" w:rsidP="002F2641">
      <w:pPr>
        <w:pStyle w:val="Body"/>
      </w:pPr>
    </w:p>
    <w:p w14:paraId="730C3E68" w14:textId="77777777" w:rsidR="002F2641" w:rsidRDefault="002F2641">
      <w:pPr>
        <w:spacing w:after="0" w:line="240" w:lineRule="auto"/>
        <w:rPr>
          <w:rFonts w:eastAsia="MS Gothic"/>
          <w:bCs/>
          <w:color w:val="201547"/>
          <w:sz w:val="28"/>
          <w:szCs w:val="26"/>
        </w:rPr>
      </w:pPr>
      <w:r>
        <w:br w:type="page"/>
      </w:r>
    </w:p>
    <w:p w14:paraId="1772302B" w14:textId="4E176861" w:rsidR="00950E29" w:rsidRDefault="00950E29" w:rsidP="00950E29">
      <w:pPr>
        <w:pStyle w:val="Heading3"/>
      </w:pPr>
      <w:r>
        <w:lastRenderedPageBreak/>
        <w:t>Regulatory principles and approach</w:t>
      </w:r>
    </w:p>
    <w:p w14:paraId="12AE9DCB" w14:textId="64E69343" w:rsidR="00950E29" w:rsidRPr="001209AA" w:rsidRDefault="00950E29" w:rsidP="004B1692">
      <w:pPr>
        <w:pStyle w:val="Body"/>
        <w:ind w:right="-200"/>
        <w:rPr>
          <w:rFonts w:cs="Arial"/>
          <w:lang w:eastAsia="en-AU"/>
        </w:rPr>
      </w:pPr>
      <w:r>
        <w:t xml:space="preserve">In applying this policy, the HSR is committed to meeting its regulatory principles, as listed in </w:t>
      </w:r>
      <w:r w:rsidR="008A74AF">
        <w:fldChar w:fldCharType="begin"/>
      </w:r>
      <w:r w:rsidR="008A74AF">
        <w:instrText xml:space="preserve"> REF _Ref84383187 \h </w:instrText>
      </w:r>
      <w:r w:rsidR="008A74AF">
        <w:fldChar w:fldCharType="separate"/>
      </w:r>
      <w:r w:rsidR="008A74AF">
        <w:t xml:space="preserve">Table </w:t>
      </w:r>
      <w:r w:rsidR="008A74AF">
        <w:rPr>
          <w:noProof/>
        </w:rPr>
        <w:t>3</w:t>
      </w:r>
      <w:r w:rsidR="008A74AF">
        <w:fldChar w:fldCharType="end"/>
      </w:r>
      <w:r>
        <w:t xml:space="preserve">. </w:t>
      </w:r>
    </w:p>
    <w:p w14:paraId="4FE822C0" w14:textId="04CFDF44" w:rsidR="00950E29" w:rsidRDefault="00950E29" w:rsidP="00950E29">
      <w:pPr>
        <w:pStyle w:val="Tablecaption"/>
      </w:pPr>
      <w:bookmarkStart w:id="15" w:name="_Ref84383187"/>
      <w:r>
        <w:t xml:space="preserve">Table </w:t>
      </w:r>
      <w:fldSimple w:instr=" SEQ Table \* ARABIC ">
        <w:r w:rsidR="004A7D77">
          <w:rPr>
            <w:noProof/>
          </w:rPr>
          <w:t>3</w:t>
        </w:r>
      </w:fldSimple>
      <w:bookmarkEnd w:id="15"/>
      <w:r>
        <w:t>: Regulatory principles and commitments</w:t>
      </w:r>
    </w:p>
    <w:tbl>
      <w:tblPr>
        <w:tblStyle w:val="HSRtable"/>
        <w:tblW w:w="9356" w:type="dxa"/>
        <w:tblLook w:val="04A0" w:firstRow="1" w:lastRow="0" w:firstColumn="1" w:lastColumn="0" w:noHBand="0" w:noVBand="1"/>
      </w:tblPr>
      <w:tblGrid>
        <w:gridCol w:w="1593"/>
        <w:gridCol w:w="7763"/>
      </w:tblGrid>
      <w:tr w:rsidR="00950E29" w14:paraId="275AADEA" w14:textId="77777777" w:rsidTr="008961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78A0DD3" w14:textId="77777777" w:rsidR="00950E29" w:rsidRPr="2320F17B" w:rsidRDefault="00950E29" w:rsidP="00950E29">
            <w:pPr>
              <w:pStyle w:val="Tablecolhead"/>
              <w:rPr>
                <w:rFonts w:eastAsia="Arial"/>
              </w:rPr>
            </w:pPr>
            <w:r w:rsidRPr="0A7891FC">
              <w:rPr>
                <w:rFonts w:eastAsia="Arial"/>
              </w:rPr>
              <w:t>Principle</w:t>
            </w:r>
          </w:p>
        </w:tc>
        <w:tc>
          <w:tcPr>
            <w:tcW w:w="0" w:type="dxa"/>
          </w:tcPr>
          <w:p w14:paraId="2641049C" w14:textId="77777777" w:rsidR="00950E29" w:rsidRPr="00B20BD0" w:rsidRDefault="00950E29" w:rsidP="00950E29">
            <w:pPr>
              <w:pStyle w:val="Tablecolhead"/>
              <w:cnfStyle w:val="100000000000" w:firstRow="1" w:lastRow="0" w:firstColumn="0" w:lastColumn="0" w:oddVBand="0" w:evenVBand="0" w:oddHBand="0" w:evenHBand="0" w:firstRowFirstColumn="0" w:firstRowLastColumn="0" w:lastRowFirstColumn="0" w:lastRowLastColumn="0"/>
              <w:rPr>
                <w:rFonts w:eastAsia="Arial"/>
              </w:rPr>
            </w:pPr>
            <w:r w:rsidRPr="0A7891FC">
              <w:rPr>
                <w:rFonts w:eastAsia="Arial"/>
              </w:rPr>
              <w:t>Commitments</w:t>
            </w:r>
          </w:p>
        </w:tc>
      </w:tr>
      <w:tr w:rsidR="00950E29" w14:paraId="66E181CD" w14:textId="77777777" w:rsidTr="00924C1A">
        <w:tc>
          <w:tcPr>
            <w:cnfStyle w:val="001000000000" w:firstRow="0" w:lastRow="0" w:firstColumn="1" w:lastColumn="0" w:oddVBand="0" w:evenVBand="0" w:oddHBand="0" w:evenHBand="0" w:firstRowFirstColumn="0" w:firstRowLastColumn="0" w:lastRowFirstColumn="0" w:lastRowLastColumn="0"/>
            <w:tcW w:w="1593" w:type="dxa"/>
            <w:tcBorders>
              <w:top w:val="single" w:sz="24" w:space="0" w:color="FFFFFF" w:themeColor="background1"/>
              <w:bottom w:val="single" w:sz="24" w:space="0" w:color="FFFFFF" w:themeColor="background1"/>
            </w:tcBorders>
          </w:tcPr>
          <w:p w14:paraId="5CCEAA4B" w14:textId="77777777" w:rsidR="00950E29" w:rsidRPr="00CD2C23" w:rsidRDefault="00950E29" w:rsidP="00950E29">
            <w:pPr>
              <w:pStyle w:val="Tabletext6pt"/>
              <w:rPr>
                <w:rStyle w:val="Strong"/>
                <w:rFonts w:eastAsia="Arial"/>
              </w:rPr>
            </w:pPr>
            <w:r w:rsidRPr="00CD2C23">
              <w:rPr>
                <w:rStyle w:val="Strong"/>
                <w:rFonts w:eastAsia="Arial"/>
              </w:rPr>
              <w:t>Collaborative</w:t>
            </w:r>
          </w:p>
        </w:tc>
        <w:tc>
          <w:tcPr>
            <w:tcW w:w="7763" w:type="dxa"/>
          </w:tcPr>
          <w:p w14:paraId="7F67F99A"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The HSR</w:t>
            </w:r>
            <w:r w:rsidRPr="00F06DDF">
              <w:rPr>
                <w:rFonts w:eastAsia="Arial"/>
              </w:rPr>
              <w:t xml:space="preserve"> support</w:t>
            </w:r>
            <w:r>
              <w:rPr>
                <w:rFonts w:eastAsia="Arial"/>
              </w:rPr>
              <w:t>s</w:t>
            </w:r>
            <w:r w:rsidRPr="00F06DDF">
              <w:rPr>
                <w:rFonts w:eastAsia="Arial"/>
              </w:rPr>
              <w:t xml:space="preserve"> duty holders to build their capabilities to deliver services that are safe and compliant.</w:t>
            </w:r>
          </w:p>
          <w:p w14:paraId="52DF7A89"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sidRPr="00F06DDF">
              <w:rPr>
                <w:rFonts w:eastAsia="Arial"/>
              </w:rPr>
              <w:t xml:space="preserve">Where regulatory regimes overlap, the HSR </w:t>
            </w:r>
            <w:r>
              <w:rPr>
                <w:rFonts w:eastAsia="Arial"/>
              </w:rPr>
              <w:t>work</w:t>
            </w:r>
            <w:r w:rsidRPr="00F06DDF">
              <w:rPr>
                <w:rFonts w:eastAsia="Arial"/>
              </w:rPr>
              <w:t>s with its regulatory peers to share information and target regulatory effort.</w:t>
            </w:r>
          </w:p>
          <w:p w14:paraId="626CC1B1"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sidRPr="00F06DDF">
              <w:rPr>
                <w:rFonts w:eastAsia="Arial"/>
              </w:rPr>
              <w:t>The HSR works with the department’s funding areas to enable coordinated responses to risk</w:t>
            </w:r>
            <w:r>
              <w:rPr>
                <w:rFonts w:eastAsia="Arial"/>
              </w:rPr>
              <w:t>.</w:t>
            </w:r>
          </w:p>
          <w:p w14:paraId="014FA109" w14:textId="77777777" w:rsidR="00950E29" w:rsidRPr="00B20BD0"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The HSR</w:t>
            </w:r>
            <w:r w:rsidRPr="00F06DDF">
              <w:rPr>
                <w:rFonts w:eastAsia="Arial"/>
              </w:rPr>
              <w:t xml:space="preserve"> engages with stakeholders and client group representatives</w:t>
            </w:r>
            <w:r>
              <w:rPr>
                <w:rFonts w:eastAsia="Arial"/>
              </w:rPr>
              <w:t>.</w:t>
            </w:r>
          </w:p>
        </w:tc>
      </w:tr>
      <w:tr w:rsidR="00950E29" w14:paraId="5A69D9A4" w14:textId="77777777" w:rsidTr="00924C1A">
        <w:tc>
          <w:tcPr>
            <w:cnfStyle w:val="001000000000" w:firstRow="0" w:lastRow="0" w:firstColumn="1" w:lastColumn="0" w:oddVBand="0" w:evenVBand="0" w:oddHBand="0" w:evenHBand="0" w:firstRowFirstColumn="0" w:firstRowLastColumn="0" w:lastRowFirstColumn="0" w:lastRowLastColumn="0"/>
            <w:tcW w:w="1593" w:type="dxa"/>
            <w:tcBorders>
              <w:top w:val="single" w:sz="24" w:space="0" w:color="FFFFFF" w:themeColor="background1"/>
              <w:bottom w:val="single" w:sz="24" w:space="0" w:color="FFFFFF" w:themeColor="background1"/>
            </w:tcBorders>
          </w:tcPr>
          <w:p w14:paraId="743D83C4" w14:textId="77777777" w:rsidR="00950E29" w:rsidRPr="00DB69F2" w:rsidRDefault="00950E29" w:rsidP="00950E29">
            <w:pPr>
              <w:pStyle w:val="Tabletext6pt"/>
              <w:rPr>
                <w:rStyle w:val="Strong"/>
                <w:rFonts w:eastAsia="Arial"/>
              </w:rPr>
            </w:pPr>
            <w:r w:rsidRPr="00DB69F2">
              <w:rPr>
                <w:rStyle w:val="Strong"/>
                <w:rFonts w:eastAsia="Arial"/>
              </w:rPr>
              <w:t>Accountable</w:t>
            </w:r>
          </w:p>
        </w:tc>
        <w:tc>
          <w:tcPr>
            <w:tcW w:w="7763" w:type="dxa"/>
          </w:tcPr>
          <w:p w14:paraId="76F4E9E4"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sidRPr="00D13363">
              <w:rPr>
                <w:rFonts w:eastAsia="Arial"/>
              </w:rPr>
              <w:t>The HSR is objective and open in its decision-making and processes</w:t>
            </w:r>
            <w:r>
              <w:rPr>
                <w:rFonts w:eastAsia="Arial"/>
              </w:rPr>
              <w:t>.</w:t>
            </w:r>
            <w:r w:rsidRPr="00D13363">
              <w:rPr>
                <w:rFonts w:eastAsia="Arial"/>
              </w:rPr>
              <w:t xml:space="preserve"> </w:t>
            </w:r>
            <w:r>
              <w:rPr>
                <w:rFonts w:eastAsia="Arial"/>
              </w:rPr>
              <w:t xml:space="preserve">It </w:t>
            </w:r>
            <w:r w:rsidRPr="00D13363">
              <w:rPr>
                <w:rFonts w:eastAsia="Arial"/>
              </w:rPr>
              <w:t xml:space="preserve">assists duty holders to understand its regulatory approach and areas of focus. </w:t>
            </w:r>
          </w:p>
          <w:p w14:paraId="2CBDBB0D"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The </w:t>
            </w:r>
            <w:r w:rsidRPr="00D13363">
              <w:rPr>
                <w:rFonts w:eastAsia="Arial"/>
              </w:rPr>
              <w:t>HSR documents decisions appropriately, including justification for actions and exercise of powers.</w:t>
            </w:r>
          </w:p>
          <w:p w14:paraId="05BDB8DE" w14:textId="77777777" w:rsidR="00950E29" w:rsidRPr="005829F7"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The </w:t>
            </w:r>
            <w:r w:rsidRPr="00D13363">
              <w:rPr>
                <w:rFonts w:eastAsia="Arial"/>
              </w:rPr>
              <w:t>HSR reports on its performance to ensure transparency and enable continuous improvement.</w:t>
            </w:r>
            <w:r w:rsidRPr="0A7891FC">
              <w:rPr>
                <w:rFonts w:eastAsia="Arial"/>
              </w:rPr>
              <w:t xml:space="preserve"> </w:t>
            </w:r>
          </w:p>
        </w:tc>
      </w:tr>
      <w:tr w:rsidR="00950E29" w14:paraId="613EF0AF" w14:textId="77777777" w:rsidTr="00924C1A">
        <w:tc>
          <w:tcPr>
            <w:cnfStyle w:val="001000000000" w:firstRow="0" w:lastRow="0" w:firstColumn="1" w:lastColumn="0" w:oddVBand="0" w:evenVBand="0" w:oddHBand="0" w:evenHBand="0" w:firstRowFirstColumn="0" w:firstRowLastColumn="0" w:lastRowFirstColumn="0" w:lastRowLastColumn="0"/>
            <w:tcW w:w="1593" w:type="dxa"/>
            <w:tcBorders>
              <w:top w:val="single" w:sz="24" w:space="0" w:color="FFFFFF" w:themeColor="background1"/>
              <w:bottom w:val="single" w:sz="24" w:space="0" w:color="FFFFFF" w:themeColor="background1"/>
            </w:tcBorders>
          </w:tcPr>
          <w:p w14:paraId="29CF3CE0" w14:textId="77777777" w:rsidR="00950E29" w:rsidRPr="00DB69F2" w:rsidRDefault="00950E29" w:rsidP="00950E29">
            <w:pPr>
              <w:pStyle w:val="Tabletext6pt"/>
              <w:rPr>
                <w:rStyle w:val="Strong"/>
                <w:rFonts w:eastAsia="Arial"/>
              </w:rPr>
            </w:pPr>
            <w:r w:rsidRPr="00DB69F2">
              <w:rPr>
                <w:rStyle w:val="Strong"/>
                <w:rFonts w:eastAsia="Arial"/>
              </w:rPr>
              <w:t>Proportionate</w:t>
            </w:r>
          </w:p>
        </w:tc>
        <w:tc>
          <w:tcPr>
            <w:tcW w:w="7763" w:type="dxa"/>
          </w:tcPr>
          <w:p w14:paraId="0E5F1E1E"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lang w:val="en-GB" w:eastAsia="en-AU"/>
              </w:rPr>
            </w:pPr>
            <w:r>
              <w:rPr>
                <w:rFonts w:eastAsia="Arial"/>
                <w:lang w:val="en-GB" w:eastAsia="en-AU"/>
              </w:rPr>
              <w:t>R</w:t>
            </w:r>
            <w:r w:rsidRPr="00D13363">
              <w:rPr>
                <w:rFonts w:eastAsia="Arial"/>
                <w:lang w:val="en-GB" w:eastAsia="en-AU"/>
              </w:rPr>
              <w:t xml:space="preserve">egulatory measures and responses </w:t>
            </w:r>
            <w:r>
              <w:rPr>
                <w:rFonts w:eastAsia="Arial"/>
                <w:lang w:val="en-GB" w:eastAsia="en-AU"/>
              </w:rPr>
              <w:t>fit</w:t>
            </w:r>
            <w:r w:rsidRPr="00D13363">
              <w:rPr>
                <w:rFonts w:eastAsia="Arial"/>
                <w:lang w:val="en-GB" w:eastAsia="en-AU"/>
              </w:rPr>
              <w:t xml:space="preserve"> the risks and behaviours they address. </w:t>
            </w:r>
          </w:p>
          <w:p w14:paraId="721315F9"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lang w:eastAsia="en-AU"/>
              </w:rPr>
            </w:pPr>
            <w:r>
              <w:rPr>
                <w:rFonts w:eastAsia="Arial"/>
                <w:lang w:val="en-GB" w:eastAsia="en-AU"/>
              </w:rPr>
              <w:t>O</w:t>
            </w:r>
            <w:r w:rsidRPr="00D13363">
              <w:rPr>
                <w:rFonts w:eastAsia="Arial"/>
                <w:lang w:val="en-GB" w:eastAsia="en-AU"/>
              </w:rPr>
              <w:t xml:space="preserve">utcomes from enforcement activities </w:t>
            </w:r>
            <w:r>
              <w:rPr>
                <w:rFonts w:eastAsia="Arial"/>
                <w:lang w:val="en-GB" w:eastAsia="en-AU"/>
              </w:rPr>
              <w:t>are</w:t>
            </w:r>
            <w:r w:rsidRPr="00D13363">
              <w:rPr>
                <w:rFonts w:eastAsia="Arial"/>
                <w:lang w:val="en-GB" w:eastAsia="en-AU"/>
              </w:rPr>
              <w:t xml:space="preserve"> consistent and </w:t>
            </w:r>
            <w:r>
              <w:rPr>
                <w:rFonts w:eastAsia="Arial"/>
                <w:lang w:val="en-GB" w:eastAsia="en-AU"/>
              </w:rPr>
              <w:t>predictable</w:t>
            </w:r>
            <w:r w:rsidRPr="0A7891FC">
              <w:rPr>
                <w:lang w:val="en-GB" w:eastAsia="en-AU"/>
              </w:rPr>
              <w:t>.</w:t>
            </w:r>
            <w:r w:rsidRPr="0A7891FC">
              <w:rPr>
                <w:lang w:eastAsia="en-AU"/>
              </w:rPr>
              <w:t> </w:t>
            </w:r>
          </w:p>
        </w:tc>
      </w:tr>
      <w:tr w:rsidR="00950E29" w14:paraId="2808136B" w14:textId="77777777" w:rsidTr="00924C1A">
        <w:tc>
          <w:tcPr>
            <w:cnfStyle w:val="001000000000" w:firstRow="0" w:lastRow="0" w:firstColumn="1" w:lastColumn="0" w:oddVBand="0" w:evenVBand="0" w:oddHBand="0" w:evenHBand="0" w:firstRowFirstColumn="0" w:firstRowLastColumn="0" w:lastRowFirstColumn="0" w:lastRowLastColumn="0"/>
            <w:tcW w:w="1593" w:type="dxa"/>
            <w:tcBorders>
              <w:top w:val="single" w:sz="24" w:space="0" w:color="FFFFFF" w:themeColor="background1"/>
              <w:bottom w:val="single" w:sz="24" w:space="0" w:color="FFFFFF" w:themeColor="background1"/>
            </w:tcBorders>
          </w:tcPr>
          <w:p w14:paraId="46A453E6" w14:textId="77777777" w:rsidR="00950E29" w:rsidRPr="005C53E7" w:rsidRDefault="00950E29" w:rsidP="00950E29">
            <w:pPr>
              <w:pStyle w:val="Tabletext6pt"/>
              <w:rPr>
                <w:rStyle w:val="Strong"/>
              </w:rPr>
            </w:pPr>
            <w:r w:rsidRPr="005C53E7">
              <w:rPr>
                <w:rStyle w:val="Strong"/>
              </w:rPr>
              <w:t>Effective</w:t>
            </w:r>
          </w:p>
        </w:tc>
        <w:tc>
          <w:tcPr>
            <w:tcW w:w="7763" w:type="dxa"/>
          </w:tcPr>
          <w:p w14:paraId="29336EBB"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pPr>
            <w:r w:rsidRPr="00012CD2">
              <w:t xml:space="preserve">The HSR analyses </w:t>
            </w:r>
            <w:r>
              <w:t>information</w:t>
            </w:r>
            <w:r w:rsidRPr="00012CD2">
              <w:t xml:space="preserve"> to identify risks and set regulatory objectives.</w:t>
            </w:r>
          </w:p>
          <w:p w14:paraId="352BBD0C"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pPr>
            <w:r>
              <w:t>The HSR allocates r</w:t>
            </w:r>
            <w:r w:rsidRPr="00012CD2">
              <w:t xml:space="preserve">esources to areas where they </w:t>
            </w:r>
            <w:r>
              <w:t>have</w:t>
            </w:r>
            <w:r w:rsidRPr="00012CD2">
              <w:t xml:space="preserve"> the greatest positive </w:t>
            </w:r>
            <w:r>
              <w:t>effect</w:t>
            </w:r>
            <w:r w:rsidRPr="00012CD2">
              <w:t xml:space="preserve"> and protect the safety, wellbeing and rights of people accessing human services.</w:t>
            </w:r>
          </w:p>
          <w:p w14:paraId="6A004947" w14:textId="77777777" w:rsidR="00950E29" w:rsidRPr="00B20BD0"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sidRPr="00012CD2">
              <w:t>Enforcement action is timely to minimise impacts of harms and maximise the deterrent effect of sanctions</w:t>
            </w:r>
            <w:r>
              <w:t>.</w:t>
            </w:r>
            <w:r w:rsidRPr="0A7891FC">
              <w:rPr>
                <w:rFonts w:eastAsia="Arial"/>
              </w:rPr>
              <w:t xml:space="preserve"> </w:t>
            </w:r>
          </w:p>
        </w:tc>
      </w:tr>
      <w:tr w:rsidR="00950E29" w14:paraId="06B00630" w14:textId="77777777" w:rsidTr="00924C1A">
        <w:tc>
          <w:tcPr>
            <w:cnfStyle w:val="001000000000" w:firstRow="0" w:lastRow="0" w:firstColumn="1" w:lastColumn="0" w:oddVBand="0" w:evenVBand="0" w:oddHBand="0" w:evenHBand="0" w:firstRowFirstColumn="0" w:firstRowLastColumn="0" w:lastRowFirstColumn="0" w:lastRowLastColumn="0"/>
            <w:tcW w:w="1593" w:type="dxa"/>
            <w:tcBorders>
              <w:top w:val="single" w:sz="24" w:space="0" w:color="FFFFFF" w:themeColor="background1"/>
            </w:tcBorders>
          </w:tcPr>
          <w:p w14:paraId="58DDB58E" w14:textId="77777777" w:rsidR="00950E29" w:rsidRPr="005C53E7" w:rsidRDefault="00950E29" w:rsidP="00950E29">
            <w:pPr>
              <w:pStyle w:val="Tabletext6pt"/>
              <w:rPr>
                <w:rStyle w:val="Strong"/>
              </w:rPr>
            </w:pPr>
            <w:r w:rsidRPr="005C53E7">
              <w:rPr>
                <w:rStyle w:val="Strong"/>
              </w:rPr>
              <w:t>Clear</w:t>
            </w:r>
          </w:p>
        </w:tc>
        <w:tc>
          <w:tcPr>
            <w:tcW w:w="7763" w:type="dxa"/>
          </w:tcPr>
          <w:p w14:paraId="4C8ADF94" w14:textId="77777777" w:rsidR="00950E29" w:rsidRPr="00B20BD0"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eastAsia="Arial"/>
              </w:rPr>
            </w:pPr>
            <w:r w:rsidRPr="00012CD2">
              <w:rPr>
                <w:rFonts w:eastAsia="Arial"/>
              </w:rPr>
              <w:t xml:space="preserve">The HSR </w:t>
            </w:r>
            <w:r>
              <w:rPr>
                <w:rFonts w:eastAsia="Arial"/>
              </w:rPr>
              <w:t>communicates</w:t>
            </w:r>
            <w:r w:rsidRPr="00012CD2">
              <w:rPr>
                <w:rFonts w:eastAsia="Arial"/>
              </w:rPr>
              <w:t xml:space="preserve"> its message, advice and enforcement actions in a clear and easily understood </w:t>
            </w:r>
            <w:r>
              <w:rPr>
                <w:rFonts w:eastAsia="Arial"/>
              </w:rPr>
              <w:t>way with</w:t>
            </w:r>
            <w:r w:rsidRPr="00012CD2">
              <w:rPr>
                <w:rFonts w:eastAsia="Arial"/>
              </w:rPr>
              <w:t xml:space="preserve"> stakeholders, duty holders and client groups</w:t>
            </w:r>
            <w:r w:rsidRPr="0A7891FC">
              <w:rPr>
                <w:rFonts w:eastAsia="Arial"/>
              </w:rPr>
              <w:t>.</w:t>
            </w:r>
          </w:p>
        </w:tc>
      </w:tr>
    </w:tbl>
    <w:p w14:paraId="144BE807" w14:textId="7B206E4C" w:rsidR="00950E29" w:rsidRPr="002F2641" w:rsidRDefault="00950E29" w:rsidP="0027133F">
      <w:pPr>
        <w:pStyle w:val="Bodyaftertablefigure"/>
      </w:pPr>
      <w:r w:rsidRPr="002F2641">
        <w:t>The HSR aims to protect safety and uphold the rights of people receiving in-scope services. To apply these principles, the HSR monitors compliance and takes enforcement actions to ensure that duty holders are held accountable, particularly where they are falling short of their obligations.</w:t>
      </w:r>
    </w:p>
    <w:p w14:paraId="3F110CAA" w14:textId="77777777" w:rsidR="00950E29" w:rsidRPr="002F2641" w:rsidRDefault="00950E29" w:rsidP="002F2641">
      <w:pPr>
        <w:pStyle w:val="Body"/>
      </w:pPr>
      <w:r w:rsidRPr="002F2641">
        <w:t>The HSR’s approach promotes a culture of continuous improvement among duty holders to assist them to comply with their obligations and improve the delivery of in-scope services.</w:t>
      </w:r>
    </w:p>
    <w:p w14:paraId="0C1FB179" w14:textId="77777777" w:rsidR="00950E29" w:rsidRPr="002F2641" w:rsidRDefault="00950E29" w:rsidP="002F2641">
      <w:pPr>
        <w:pStyle w:val="Body"/>
      </w:pPr>
      <w:r w:rsidRPr="002F2641">
        <w:t>The HSR recognises that many human services providers work to make a positive contribution to society and will comply voluntarily with effective engagement and information from HSR. Accordingly, HSR’s compliance approach includes supporting duty holders to understand and meet their obligations through compliance guidance and education materials.</w:t>
      </w:r>
    </w:p>
    <w:p w14:paraId="36E82F06" w14:textId="77777777" w:rsidR="00950E29" w:rsidRPr="002F2641" w:rsidRDefault="00950E29" w:rsidP="002F2641">
      <w:pPr>
        <w:pStyle w:val="Body"/>
      </w:pPr>
      <w:r w:rsidRPr="002F2641">
        <w:t>The responsibility for compliance will always rest with the duty holder. The HSR expects those who have obligations under the law to seek out relevant information and stay up to date with changing industry practices.</w:t>
      </w:r>
    </w:p>
    <w:p w14:paraId="0460B846" w14:textId="77777777" w:rsidR="00950E29" w:rsidRPr="002F2641" w:rsidRDefault="00950E29" w:rsidP="002F2641">
      <w:pPr>
        <w:pStyle w:val="Body"/>
      </w:pPr>
      <w:r w:rsidRPr="002F2641">
        <w:t xml:space="preserve">Where the risks are higher, the HSR will use statutory powers to remedy and/or prevent the non-compliance. </w:t>
      </w:r>
    </w:p>
    <w:p w14:paraId="0D8A06A9" w14:textId="77777777" w:rsidR="00950E29" w:rsidRPr="00867F44" w:rsidRDefault="00950E29" w:rsidP="00950E29">
      <w:pPr>
        <w:pStyle w:val="Heading3"/>
      </w:pPr>
      <w:r>
        <w:lastRenderedPageBreak/>
        <w:t>The HSR works with regulatory and departmental peers</w:t>
      </w:r>
    </w:p>
    <w:p w14:paraId="032E41D6" w14:textId="0B628374" w:rsidR="00950E29" w:rsidRDefault="00950E29" w:rsidP="00950E29">
      <w:pPr>
        <w:pStyle w:val="Body"/>
      </w:pPr>
      <w:r>
        <w:t xml:space="preserve">The HSR works with diverse government </w:t>
      </w:r>
      <w:r w:rsidRPr="00CF30F4">
        <w:t xml:space="preserve">entities </w:t>
      </w:r>
      <w:r>
        <w:t xml:space="preserve">that </w:t>
      </w:r>
      <w:r w:rsidRPr="00CF30F4">
        <w:t xml:space="preserve">have </w:t>
      </w:r>
      <w:r>
        <w:t xml:space="preserve">regulatory oversight </w:t>
      </w:r>
      <w:r w:rsidR="00B2210B">
        <w:t xml:space="preserve">or safeguarding </w:t>
      </w:r>
      <w:r w:rsidRPr="00CF30F4">
        <w:t>responsibilities</w:t>
      </w:r>
      <w:r>
        <w:t xml:space="preserve"> that may intersect with our regulatory portfolio.</w:t>
      </w:r>
    </w:p>
    <w:p w14:paraId="20A06A50" w14:textId="77777777" w:rsidR="00950E29" w:rsidRDefault="00950E29" w:rsidP="00950E29">
      <w:pPr>
        <w:pStyle w:val="Body"/>
      </w:pPr>
      <w:r>
        <w:t xml:space="preserve">The HSR takes an active role in liaising and information-sharing with these entities where appropriate and legally permissible. </w:t>
      </w:r>
    </w:p>
    <w:p w14:paraId="451B420D" w14:textId="77777777" w:rsidR="00950E29" w:rsidRPr="001209AA" w:rsidRDefault="00950E29" w:rsidP="00950E29">
      <w:pPr>
        <w:pStyle w:val="Body"/>
      </w:pPr>
      <w:r>
        <w:t>Although part of the department, the HSR makes regulatory decisions independent of the department’s branches that administer funding contracts and provide operational support.</w:t>
      </w:r>
    </w:p>
    <w:p w14:paraId="32975F58" w14:textId="3730311E" w:rsidR="006E28C4" w:rsidRPr="006E28C4" w:rsidRDefault="006E28C4" w:rsidP="006E28C4">
      <w:pPr>
        <w:pStyle w:val="Figurecaption"/>
      </w:pPr>
      <w:r>
        <w:t xml:space="preserve">Figure </w:t>
      </w:r>
      <w:fldSimple w:instr=" SEQ Figure \* ARABIC ">
        <w:r w:rsidR="004A7D77">
          <w:rPr>
            <w:noProof/>
          </w:rPr>
          <w:t>1</w:t>
        </w:r>
      </w:fldSimple>
      <w:r>
        <w:t>: Example regulatory ecosystem</w:t>
      </w:r>
      <w:r>
        <w:rPr>
          <w:rStyle w:val="FootnoteReference"/>
        </w:rPr>
        <w:footnoteReference w:id="2"/>
      </w:r>
    </w:p>
    <w:p w14:paraId="0F0865F4" w14:textId="77777777" w:rsidR="00233367" w:rsidRDefault="00950E29" w:rsidP="004B1692">
      <w:pPr>
        <w:pStyle w:val="Body"/>
      </w:pPr>
      <w:r>
        <w:rPr>
          <w:noProof/>
        </w:rPr>
        <w:drawing>
          <wp:inline distT="0" distB="0" distL="0" distR="0" wp14:anchorId="1DFA9210" wp14:editId="42B617A1">
            <wp:extent cx="5884009" cy="5876664"/>
            <wp:effectExtent l="0" t="0" r="0" b="3810"/>
            <wp:docPr id="10" name="Picture 10" descr="Bodies the HSR works with. These are listed in Appendix A under heading 'Collaborative pee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dies the HSR works with. These are listed in Appendix A under heading 'Collaborative peer regulation'"/>
                    <pic:cNvPicPr/>
                  </pic:nvPicPr>
                  <pic:blipFill>
                    <a:blip r:embed="rId20"/>
                    <a:stretch>
                      <a:fillRect/>
                    </a:stretch>
                  </pic:blipFill>
                  <pic:spPr>
                    <a:xfrm>
                      <a:off x="0" y="0"/>
                      <a:ext cx="5884009" cy="5876664"/>
                    </a:xfrm>
                    <a:prstGeom prst="rect">
                      <a:avLst/>
                    </a:prstGeom>
                  </pic:spPr>
                </pic:pic>
              </a:graphicData>
            </a:graphic>
          </wp:inline>
        </w:drawing>
      </w:r>
    </w:p>
    <w:p w14:paraId="6A8F2C1A" w14:textId="77777777" w:rsidR="00BC7311" w:rsidRDefault="00BC7311">
      <w:pPr>
        <w:spacing w:after="0" w:line="240" w:lineRule="auto"/>
        <w:rPr>
          <w:rFonts w:eastAsia="Times"/>
        </w:rPr>
      </w:pPr>
      <w:r>
        <w:br w:type="page"/>
      </w:r>
    </w:p>
    <w:p w14:paraId="7814DEB3" w14:textId="5EB54118" w:rsidR="00950E29" w:rsidRPr="008367AA" w:rsidRDefault="00950E29" w:rsidP="004B1692">
      <w:pPr>
        <w:pStyle w:val="Body"/>
      </w:pPr>
      <w:r>
        <w:lastRenderedPageBreak/>
        <w:t>T</w:t>
      </w:r>
      <w:r w:rsidRPr="1CD2DDF4">
        <w:t xml:space="preserve">here might be instances </w:t>
      </w:r>
      <w:r>
        <w:t>where</w:t>
      </w:r>
      <w:r w:rsidRPr="1CD2DDF4">
        <w:t xml:space="preserve"> the HSR may not directly act on non-compliance but will</w:t>
      </w:r>
      <w:r>
        <w:t xml:space="preserve"> instead</w:t>
      </w:r>
      <w:r w:rsidRPr="1CD2DDF4">
        <w:t xml:space="preserve"> refer the non-compliance to the primary regulator. </w:t>
      </w:r>
      <w:r>
        <w:t>This may involve</w:t>
      </w:r>
      <w:r w:rsidRPr="1CD2DDF4">
        <w:t>:</w:t>
      </w:r>
    </w:p>
    <w:p w14:paraId="53B06AFE" w14:textId="77777777" w:rsidR="00950E29" w:rsidRPr="008367AA" w:rsidRDefault="00950E29" w:rsidP="00950E29">
      <w:pPr>
        <w:pStyle w:val="Bullet1"/>
      </w:pPr>
      <w:r>
        <w:rPr>
          <w:b/>
          <w:bCs/>
        </w:rPr>
        <w:t>r</w:t>
      </w:r>
      <w:r w:rsidRPr="008367AA">
        <w:rPr>
          <w:b/>
          <w:bCs/>
        </w:rPr>
        <w:t>eferral</w:t>
      </w:r>
      <w:r w:rsidRPr="008367AA">
        <w:rPr>
          <w:rFonts w:eastAsia="Times New Roman"/>
        </w:rPr>
        <w:t xml:space="preserve"> – where HSR identifies</w:t>
      </w:r>
      <w:r w:rsidRPr="008367AA">
        <w:t xml:space="preserve"> harms, or risks of harm, that are not within its scope, these will be referred to the appropriate primary regulator (including criminal activity which needs to be referred to Victoria Police).</w:t>
      </w:r>
    </w:p>
    <w:p w14:paraId="320576C1" w14:textId="77777777" w:rsidR="00950E29" w:rsidRPr="008367AA" w:rsidRDefault="00950E29" w:rsidP="00950E29">
      <w:pPr>
        <w:pStyle w:val="Bullet1"/>
      </w:pPr>
      <w:r>
        <w:rPr>
          <w:b/>
          <w:bCs/>
        </w:rPr>
        <w:t>r</w:t>
      </w:r>
      <w:r w:rsidRPr="008367AA">
        <w:rPr>
          <w:b/>
          <w:bCs/>
        </w:rPr>
        <w:t>eferral and review</w:t>
      </w:r>
      <w:r w:rsidRPr="008367AA">
        <w:t xml:space="preserve"> – where harms are relevant to the functions of the HSR, but HSR is not the primary regulator, it will refer the matter to the primary regulator and will monitor any regulatory action taken and the implications for HSR’s responsibilities. This may include HSR taking concurrent regulatory action. </w:t>
      </w:r>
    </w:p>
    <w:p w14:paraId="16A993D8" w14:textId="66A66BB2" w:rsidR="00950E29" w:rsidRDefault="00950E29" w:rsidP="00950E29">
      <w:pPr>
        <w:pStyle w:val="Heading2"/>
      </w:pPr>
      <w:bookmarkStart w:id="16" w:name="_Toc74671603"/>
      <w:bookmarkStart w:id="17" w:name="_Toc83824872"/>
      <w:r>
        <w:t>Our expectation of duty holders</w:t>
      </w:r>
      <w:bookmarkEnd w:id="16"/>
      <w:bookmarkEnd w:id="17"/>
    </w:p>
    <w:p w14:paraId="0299951F" w14:textId="77777777" w:rsidR="00950E29" w:rsidRPr="00E20043" w:rsidRDefault="00950E29" w:rsidP="00950E29">
      <w:pPr>
        <w:pStyle w:val="Body"/>
      </w:pPr>
      <w:r w:rsidRPr="00023220">
        <w:t>H</w:t>
      </w:r>
      <w:r w:rsidRPr="00A10CD9">
        <w:t xml:space="preserve">SR expects </w:t>
      </w:r>
      <w:r>
        <w:t>duty holder</w:t>
      </w:r>
      <w:r w:rsidRPr="00E20043">
        <w:t xml:space="preserve">s </w:t>
      </w:r>
      <w:r w:rsidRPr="00023220">
        <w:t xml:space="preserve">to </w:t>
      </w:r>
      <w:r w:rsidRPr="00A10CD9">
        <w:t>comply</w:t>
      </w:r>
      <w:r w:rsidRPr="00E20043">
        <w:t xml:space="preserve"> with their obligations under applicable legislation and standards</w:t>
      </w:r>
      <w:r>
        <w:t>,</w:t>
      </w:r>
      <w:r w:rsidRPr="00E20043">
        <w:t xml:space="preserve"> and </w:t>
      </w:r>
      <w:r>
        <w:t xml:space="preserve">to </w:t>
      </w:r>
      <w:r w:rsidRPr="00E20043">
        <w:t>engage in the following practices:</w:t>
      </w:r>
    </w:p>
    <w:p w14:paraId="58FA7CF5" w14:textId="77777777" w:rsidR="00950E29" w:rsidRPr="00E20043" w:rsidRDefault="00950E29" w:rsidP="002F2641">
      <w:pPr>
        <w:pStyle w:val="ListParagraph"/>
        <w:numPr>
          <w:ilvl w:val="0"/>
          <w:numId w:val="9"/>
        </w:numPr>
        <w:rPr>
          <w:rFonts w:ascii="Arial" w:hAnsi="Arial" w:cs="Arial"/>
          <w:sz w:val="21"/>
          <w:szCs w:val="21"/>
        </w:rPr>
      </w:pPr>
      <w:r w:rsidRPr="00E20043">
        <w:rPr>
          <w:rFonts w:ascii="Arial" w:hAnsi="Arial" w:cs="Arial"/>
          <w:sz w:val="21"/>
          <w:szCs w:val="21"/>
        </w:rPr>
        <w:t>continuously work to maintain high service quality</w:t>
      </w:r>
    </w:p>
    <w:p w14:paraId="1C98B3C7" w14:textId="77777777" w:rsidR="00950E29" w:rsidRPr="00E20043" w:rsidRDefault="00950E29" w:rsidP="002F2641">
      <w:pPr>
        <w:pStyle w:val="ListParagraph"/>
        <w:numPr>
          <w:ilvl w:val="0"/>
          <w:numId w:val="9"/>
        </w:numPr>
        <w:rPr>
          <w:rFonts w:ascii="Arial" w:hAnsi="Arial" w:cs="Arial"/>
          <w:sz w:val="21"/>
          <w:szCs w:val="21"/>
        </w:rPr>
      </w:pPr>
      <w:r w:rsidRPr="00E20043">
        <w:rPr>
          <w:rFonts w:ascii="Arial" w:hAnsi="Arial" w:cs="Arial"/>
          <w:sz w:val="21"/>
          <w:szCs w:val="21"/>
        </w:rPr>
        <w:t>engag</w:t>
      </w:r>
      <w:r>
        <w:rPr>
          <w:rFonts w:ascii="Arial" w:hAnsi="Arial" w:cs="Arial"/>
          <w:sz w:val="21"/>
          <w:szCs w:val="21"/>
        </w:rPr>
        <w:t>e</w:t>
      </w:r>
      <w:r w:rsidRPr="00E20043">
        <w:rPr>
          <w:rFonts w:ascii="Arial" w:hAnsi="Arial" w:cs="Arial"/>
          <w:sz w:val="21"/>
          <w:szCs w:val="21"/>
        </w:rPr>
        <w:t xml:space="preserve"> and cooperat</w:t>
      </w:r>
      <w:r>
        <w:rPr>
          <w:rFonts w:ascii="Arial" w:hAnsi="Arial" w:cs="Arial"/>
          <w:sz w:val="21"/>
          <w:szCs w:val="21"/>
        </w:rPr>
        <w:t>e</w:t>
      </w:r>
      <w:r w:rsidRPr="00E20043">
        <w:rPr>
          <w:rFonts w:ascii="Arial" w:hAnsi="Arial" w:cs="Arial"/>
          <w:sz w:val="21"/>
          <w:szCs w:val="21"/>
        </w:rPr>
        <w:t xml:space="preserve"> with the HSR</w:t>
      </w:r>
    </w:p>
    <w:p w14:paraId="29358B92" w14:textId="77777777" w:rsidR="00950E29" w:rsidRPr="00E20043" w:rsidRDefault="00950E29" w:rsidP="002F2641">
      <w:pPr>
        <w:pStyle w:val="ListParagraph"/>
        <w:numPr>
          <w:ilvl w:val="0"/>
          <w:numId w:val="9"/>
        </w:numPr>
        <w:rPr>
          <w:rFonts w:ascii="Arial" w:hAnsi="Arial" w:cs="Arial"/>
          <w:sz w:val="21"/>
          <w:szCs w:val="21"/>
        </w:rPr>
      </w:pPr>
      <w:r w:rsidRPr="00E20043">
        <w:rPr>
          <w:rFonts w:ascii="Arial" w:hAnsi="Arial" w:cs="Arial"/>
          <w:sz w:val="21"/>
          <w:szCs w:val="21"/>
        </w:rPr>
        <w:t>hav</w:t>
      </w:r>
      <w:r>
        <w:rPr>
          <w:rFonts w:ascii="Arial" w:hAnsi="Arial" w:cs="Arial"/>
          <w:sz w:val="21"/>
          <w:szCs w:val="21"/>
        </w:rPr>
        <w:t>e</w:t>
      </w:r>
      <w:r w:rsidRPr="00E20043">
        <w:rPr>
          <w:rFonts w:ascii="Arial" w:hAnsi="Arial" w:cs="Arial"/>
          <w:sz w:val="21"/>
          <w:szCs w:val="21"/>
        </w:rPr>
        <w:t xml:space="preserve"> processes in place to identify, manage, mitigate and communicate risks</w:t>
      </w:r>
    </w:p>
    <w:p w14:paraId="06383550" w14:textId="77777777" w:rsidR="00950E29" w:rsidRPr="00E20043" w:rsidRDefault="00950E29" w:rsidP="002F2641">
      <w:pPr>
        <w:pStyle w:val="ListParagraph"/>
        <w:numPr>
          <w:ilvl w:val="0"/>
          <w:numId w:val="9"/>
        </w:numPr>
        <w:rPr>
          <w:rFonts w:ascii="Arial" w:hAnsi="Arial" w:cs="Arial"/>
          <w:sz w:val="21"/>
          <w:szCs w:val="21"/>
        </w:rPr>
      </w:pPr>
      <w:r w:rsidRPr="00E20043">
        <w:rPr>
          <w:rFonts w:ascii="Arial" w:hAnsi="Arial" w:cs="Arial"/>
          <w:sz w:val="21"/>
          <w:szCs w:val="21"/>
        </w:rPr>
        <w:t>seek feedback from and act on complaints by clients, family members, carers and community visitors</w:t>
      </w:r>
    </w:p>
    <w:p w14:paraId="3561E64D" w14:textId="77777777" w:rsidR="00950E29" w:rsidRPr="00E20043" w:rsidRDefault="00950E29" w:rsidP="002F2641">
      <w:pPr>
        <w:pStyle w:val="ListParagraph"/>
        <w:numPr>
          <w:ilvl w:val="0"/>
          <w:numId w:val="9"/>
        </w:numPr>
        <w:rPr>
          <w:rFonts w:ascii="Arial" w:hAnsi="Arial" w:cs="Arial"/>
          <w:sz w:val="21"/>
          <w:szCs w:val="21"/>
        </w:rPr>
      </w:pPr>
      <w:r w:rsidRPr="00E20043">
        <w:rPr>
          <w:rFonts w:ascii="Arial" w:hAnsi="Arial" w:cs="Arial"/>
          <w:sz w:val="21"/>
          <w:szCs w:val="21"/>
        </w:rPr>
        <w:t>implement advice provided by HSR</w:t>
      </w:r>
    </w:p>
    <w:p w14:paraId="07CCE035" w14:textId="77777777" w:rsidR="00950E29" w:rsidRPr="00E20043" w:rsidRDefault="00950E29" w:rsidP="002F2641">
      <w:pPr>
        <w:pStyle w:val="ListParagraph"/>
        <w:numPr>
          <w:ilvl w:val="0"/>
          <w:numId w:val="9"/>
        </w:numPr>
        <w:rPr>
          <w:rFonts w:ascii="Arial" w:hAnsi="Arial" w:cs="Arial"/>
          <w:sz w:val="21"/>
          <w:szCs w:val="21"/>
        </w:rPr>
      </w:pPr>
      <w:r w:rsidRPr="00E20043">
        <w:rPr>
          <w:rFonts w:ascii="Arial" w:hAnsi="Arial" w:cs="Arial"/>
          <w:sz w:val="21"/>
          <w:szCs w:val="21"/>
        </w:rPr>
        <w:t>notify HSR of any adverse incidents.</w:t>
      </w:r>
    </w:p>
    <w:p w14:paraId="59C208A0" w14:textId="77777777" w:rsidR="00950E29" w:rsidRDefault="00950E29" w:rsidP="00950E29">
      <w:pPr>
        <w:pStyle w:val="Bodyafterbullets"/>
      </w:pPr>
      <w:r w:rsidRPr="00023220">
        <w:t xml:space="preserve">The HSR understands that many </w:t>
      </w:r>
      <w:r>
        <w:t>duty holder</w:t>
      </w:r>
      <w:r w:rsidRPr="00023220">
        <w:t>s want to comply with regulatory requirements and are seeking to improve their practice as part of delivering quality services.</w:t>
      </w:r>
    </w:p>
    <w:p w14:paraId="03D1C4E2" w14:textId="77777777" w:rsidR="00950E29" w:rsidRPr="00E20043" w:rsidRDefault="00950E29" w:rsidP="00950E29">
      <w:pPr>
        <w:pStyle w:val="Bodyafterbullets"/>
        <w:rPr>
          <w:noProof/>
          <w:lang w:val="en-US"/>
        </w:rPr>
      </w:pPr>
      <w:r w:rsidRPr="00023220">
        <w:t>The HS</w:t>
      </w:r>
      <w:r w:rsidRPr="00E20043">
        <w:t xml:space="preserve">R provides </w:t>
      </w:r>
      <w:r>
        <w:t>duty holder</w:t>
      </w:r>
      <w:r w:rsidRPr="00E20043">
        <w:t xml:space="preserve">s with guidance to improve compliance and recognises good performers in its approach to compliance monitoring. </w:t>
      </w:r>
    </w:p>
    <w:p w14:paraId="217AD504" w14:textId="77777777" w:rsidR="00950E29" w:rsidRPr="00E20043" w:rsidRDefault="00950E29" w:rsidP="00950E29">
      <w:pPr>
        <w:pStyle w:val="Body"/>
      </w:pPr>
      <w:r w:rsidRPr="00E20043">
        <w:t>There are</w:t>
      </w:r>
      <w:r>
        <w:t>,</w:t>
      </w:r>
      <w:r w:rsidRPr="00E20043">
        <w:t xml:space="preserve"> however, those who fail to comply and may be deliberately non-compliant. The HSR responds more firmly and will escalate its compliance and enforcement response if a </w:t>
      </w:r>
      <w:r>
        <w:t>duty holder</w:t>
      </w:r>
      <w:r w:rsidRPr="00E20043">
        <w:t xml:space="preserve"> is resistant, uncooperative, evasive or does not take responsibility.</w:t>
      </w:r>
    </w:p>
    <w:p w14:paraId="004AB5CD" w14:textId="77777777" w:rsidR="00950E29" w:rsidRPr="00520F20" w:rsidRDefault="00950E29" w:rsidP="00520F20">
      <w:pPr>
        <w:pStyle w:val="Body"/>
      </w:pPr>
      <w:r w:rsidRPr="00520F20">
        <w:br w:type="page"/>
      </w:r>
    </w:p>
    <w:p w14:paraId="4D2D278E" w14:textId="77777777" w:rsidR="00950E29" w:rsidRPr="005A5F25" w:rsidRDefault="00950E29" w:rsidP="00950E29">
      <w:pPr>
        <w:pStyle w:val="Heading1"/>
      </w:pPr>
      <w:bookmarkStart w:id="18" w:name="_2._Our_regulatory"/>
      <w:bookmarkStart w:id="19" w:name="_Toc74671604"/>
      <w:bookmarkStart w:id="20" w:name="_Toc83824873"/>
      <w:bookmarkEnd w:id="18"/>
      <w:r w:rsidRPr="005A5F25">
        <w:lastRenderedPageBreak/>
        <w:t>2. Our regulatory toolkit</w:t>
      </w:r>
      <w:bookmarkEnd w:id="19"/>
      <w:bookmarkEnd w:id="20"/>
    </w:p>
    <w:p w14:paraId="58534143" w14:textId="77777777" w:rsidR="00950E29" w:rsidRDefault="00950E29" w:rsidP="00950E29">
      <w:pPr>
        <w:pStyle w:val="Body"/>
      </w:pPr>
      <w:r>
        <w:t xml:space="preserve">Legislative and policy frameworks provide HSR with a range of regulatory measures or tools to maintain and ensure compliance, and take enforcement action where necessary. </w:t>
      </w:r>
    </w:p>
    <w:p w14:paraId="0CFB84EE" w14:textId="77777777" w:rsidR="00950E29" w:rsidRDefault="00950E29" w:rsidP="00950E29">
      <w:pPr>
        <w:pStyle w:val="Body"/>
      </w:pPr>
      <w:r>
        <w:t xml:space="preserve">The </w:t>
      </w:r>
      <w:r w:rsidRPr="0043745C">
        <w:t>HSR achieves its regulatory outcomes by combining a variety of regulatory tools to enforce compliance.</w:t>
      </w:r>
      <w:r>
        <w:t xml:space="preserve"> These range from information provision to exercising legislative powers</w:t>
      </w:r>
      <w:r w:rsidRPr="000306E2">
        <w:t xml:space="preserve">. </w:t>
      </w:r>
    </w:p>
    <w:p w14:paraId="28274CEB" w14:textId="77777777" w:rsidR="00950E29" w:rsidRDefault="00950E29" w:rsidP="00950E29">
      <w:pPr>
        <w:pStyle w:val="Body"/>
      </w:pPr>
      <w:r>
        <w:t xml:space="preserve">These tools fall under five main categories, as outlined in the following table and described in more detail in </w:t>
      </w:r>
      <w:hyperlink w:anchor="_Appendix_A:_Regulatory" w:history="1">
        <w:r w:rsidRPr="005A5F25">
          <w:rPr>
            <w:rStyle w:val="Hyperlink"/>
            <w:b/>
            <w:bCs/>
          </w:rPr>
          <w:t>Appendix A</w:t>
        </w:r>
      </w:hyperlink>
      <w:r>
        <w:t>.</w:t>
      </w:r>
    </w:p>
    <w:p w14:paraId="06BE9E87" w14:textId="2511DDEE" w:rsidR="00950E29" w:rsidRDefault="00950E29" w:rsidP="00950E29">
      <w:pPr>
        <w:pStyle w:val="Figurecaption"/>
      </w:pPr>
      <w:bookmarkStart w:id="21" w:name="_Ref84383004"/>
      <w:r>
        <w:t xml:space="preserve">Table </w:t>
      </w:r>
      <w:fldSimple w:instr=" SEQ Table \* ARABIC ">
        <w:r w:rsidR="00BC7311">
          <w:rPr>
            <w:noProof/>
          </w:rPr>
          <w:t>4</w:t>
        </w:r>
      </w:fldSimple>
      <w:bookmarkEnd w:id="21"/>
      <w:r>
        <w:t>: Regulatory tools</w:t>
      </w:r>
    </w:p>
    <w:tbl>
      <w:tblPr>
        <w:tblStyle w:val="HSRtable"/>
        <w:tblW w:w="9214" w:type="dxa"/>
        <w:tblLayout w:type="fixed"/>
        <w:tblLook w:val="06A0" w:firstRow="1" w:lastRow="0" w:firstColumn="1" w:lastColumn="0" w:noHBand="1" w:noVBand="1"/>
      </w:tblPr>
      <w:tblGrid>
        <w:gridCol w:w="1838"/>
        <w:gridCol w:w="7376"/>
      </w:tblGrid>
      <w:tr w:rsidR="00950E29" w14:paraId="344D65EA" w14:textId="77777777" w:rsidTr="008961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9D45BA3" w14:textId="77777777" w:rsidR="00950E29" w:rsidRPr="00BF655A" w:rsidRDefault="00950E29" w:rsidP="00950E29">
            <w:pPr>
              <w:pStyle w:val="Tablecolhead"/>
              <w:rPr>
                <w:szCs w:val="21"/>
              </w:rPr>
            </w:pPr>
            <w:r w:rsidRPr="00BF655A">
              <w:t>Tool category</w:t>
            </w:r>
          </w:p>
        </w:tc>
        <w:tc>
          <w:tcPr>
            <w:tcW w:w="0" w:type="dxa"/>
          </w:tcPr>
          <w:p w14:paraId="42CC57B4" w14:textId="77777777" w:rsidR="00950E29" w:rsidRPr="00BF655A" w:rsidRDefault="00950E29" w:rsidP="00950E29">
            <w:pPr>
              <w:pStyle w:val="Tablecolhead"/>
              <w:cnfStyle w:val="100000000000" w:firstRow="1" w:lastRow="0" w:firstColumn="0" w:lastColumn="0" w:oddVBand="0" w:evenVBand="0" w:oddHBand="0" w:evenHBand="0" w:firstRowFirstColumn="0" w:firstRowLastColumn="0" w:lastRowFirstColumn="0" w:lastRowLastColumn="0"/>
            </w:pPr>
            <w:r w:rsidRPr="00BF655A">
              <w:t>Role</w:t>
            </w:r>
          </w:p>
        </w:tc>
      </w:tr>
      <w:tr w:rsidR="00950E29" w14:paraId="0807A7E9" w14:textId="77777777" w:rsidTr="00BB401F">
        <w:tc>
          <w:tcPr>
            <w:cnfStyle w:val="001000000000" w:firstRow="0" w:lastRow="0" w:firstColumn="1" w:lastColumn="0" w:oddVBand="0" w:evenVBand="0" w:oddHBand="0" w:evenHBand="0" w:firstRowFirstColumn="0" w:firstRowLastColumn="0" w:lastRowFirstColumn="0" w:lastRowLastColumn="0"/>
            <w:tcW w:w="1838" w:type="dxa"/>
            <w:tcBorders>
              <w:top w:val="single" w:sz="24" w:space="0" w:color="FFFFFF" w:themeColor="background1"/>
              <w:bottom w:val="single" w:sz="24" w:space="0" w:color="FFFFFF" w:themeColor="background1"/>
            </w:tcBorders>
          </w:tcPr>
          <w:p w14:paraId="184B8D77" w14:textId="77777777" w:rsidR="00950E29" w:rsidRPr="00BF655A" w:rsidRDefault="00950E29" w:rsidP="00950E29">
            <w:pPr>
              <w:pStyle w:val="Tabletext6pt"/>
              <w:rPr>
                <w:b/>
                <w:bCs/>
              </w:rPr>
            </w:pPr>
            <w:r w:rsidRPr="00BF655A">
              <w:rPr>
                <w:b/>
                <w:bCs/>
              </w:rPr>
              <w:t>Registration</w:t>
            </w:r>
            <w:r>
              <w:rPr>
                <w:b/>
                <w:bCs/>
              </w:rPr>
              <w:t xml:space="preserve"> (</w:t>
            </w:r>
            <w:r w:rsidRPr="00A10CD9">
              <w:t>approvals and reviews</w:t>
            </w:r>
            <w:r>
              <w:rPr>
                <w:b/>
                <w:bCs/>
              </w:rPr>
              <w:t>)</w:t>
            </w:r>
          </w:p>
        </w:tc>
        <w:tc>
          <w:tcPr>
            <w:tcW w:w="7376" w:type="dxa"/>
          </w:tcPr>
          <w:p w14:paraId="257EBE56"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pPr>
            <w:r>
              <w:t xml:space="preserve">Preventative risk management, by identifying and screening applicants to ensure that they meet suitability and capacity requirements. </w:t>
            </w:r>
          </w:p>
          <w:p w14:paraId="0A58B440" w14:textId="77777777" w:rsidR="00950E29" w:rsidRPr="00BF655A" w:rsidRDefault="00950E29" w:rsidP="00950E29">
            <w:pPr>
              <w:pStyle w:val="Tabletext6pt"/>
              <w:cnfStyle w:val="000000000000" w:firstRow="0" w:lastRow="0" w:firstColumn="0" w:lastColumn="0" w:oddVBand="0" w:evenVBand="0" w:oddHBand="0" w:evenHBand="0" w:firstRowFirstColumn="0" w:firstRowLastColumn="0" w:lastRowFirstColumn="0" w:lastRowLastColumn="0"/>
            </w:pPr>
            <w:r>
              <w:t>Addressing potential shortcomings and imposing operational requirements or restrictions.</w:t>
            </w:r>
          </w:p>
        </w:tc>
      </w:tr>
      <w:tr w:rsidR="00950E29" w14:paraId="0E0272C9" w14:textId="77777777" w:rsidTr="00BB401F">
        <w:tc>
          <w:tcPr>
            <w:cnfStyle w:val="001000000000" w:firstRow="0" w:lastRow="0" w:firstColumn="1" w:lastColumn="0" w:oddVBand="0" w:evenVBand="0" w:oddHBand="0" w:evenHBand="0" w:firstRowFirstColumn="0" w:firstRowLastColumn="0" w:lastRowFirstColumn="0" w:lastRowLastColumn="0"/>
            <w:tcW w:w="1838" w:type="dxa"/>
            <w:tcBorders>
              <w:top w:val="single" w:sz="24" w:space="0" w:color="FFFFFF" w:themeColor="background1"/>
              <w:bottom w:val="single" w:sz="24" w:space="0" w:color="FFFFFF" w:themeColor="background1"/>
            </w:tcBorders>
          </w:tcPr>
          <w:p w14:paraId="28C15303" w14:textId="77777777" w:rsidR="00950E29" w:rsidRPr="00BF655A" w:rsidRDefault="00950E29" w:rsidP="00950E29">
            <w:pPr>
              <w:pStyle w:val="Tabletext6pt"/>
              <w:rPr>
                <w:b/>
                <w:bCs/>
              </w:rPr>
            </w:pPr>
            <w:r w:rsidRPr="00BF655A">
              <w:rPr>
                <w:b/>
                <w:bCs/>
              </w:rPr>
              <w:t xml:space="preserve">Information gathering and </w:t>
            </w:r>
            <w:r>
              <w:rPr>
                <w:b/>
                <w:bCs/>
              </w:rPr>
              <w:t>m</w:t>
            </w:r>
            <w:r w:rsidRPr="00BF655A">
              <w:rPr>
                <w:b/>
                <w:bCs/>
              </w:rPr>
              <w:t>onitoring</w:t>
            </w:r>
          </w:p>
        </w:tc>
        <w:tc>
          <w:tcPr>
            <w:tcW w:w="7376" w:type="dxa"/>
          </w:tcPr>
          <w:p w14:paraId="1B9A6ADD"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pPr>
            <w:r>
              <w:t>Proactive and responsive measures to monitor performance, detect non-compliance, identify risks and identify compliance guidance needs.</w:t>
            </w:r>
          </w:p>
        </w:tc>
      </w:tr>
      <w:tr w:rsidR="00950E29" w14:paraId="59EA70A9" w14:textId="77777777" w:rsidTr="00BB401F">
        <w:tc>
          <w:tcPr>
            <w:cnfStyle w:val="001000000000" w:firstRow="0" w:lastRow="0" w:firstColumn="1" w:lastColumn="0" w:oddVBand="0" w:evenVBand="0" w:oddHBand="0" w:evenHBand="0" w:firstRowFirstColumn="0" w:firstRowLastColumn="0" w:lastRowFirstColumn="0" w:lastRowLastColumn="0"/>
            <w:tcW w:w="1838" w:type="dxa"/>
            <w:tcBorders>
              <w:top w:val="single" w:sz="24" w:space="0" w:color="FFFFFF" w:themeColor="background1"/>
              <w:bottom w:val="single" w:sz="24" w:space="0" w:color="FFFFFF" w:themeColor="background1"/>
            </w:tcBorders>
          </w:tcPr>
          <w:p w14:paraId="0EFA3BF9" w14:textId="77777777" w:rsidR="00950E29" w:rsidRPr="00BF655A" w:rsidRDefault="00950E29" w:rsidP="00950E29">
            <w:pPr>
              <w:pStyle w:val="Tabletext6pt"/>
              <w:rPr>
                <w:b/>
                <w:bCs/>
              </w:rPr>
            </w:pPr>
            <w:r w:rsidRPr="00BF655A">
              <w:rPr>
                <w:b/>
                <w:bCs/>
              </w:rPr>
              <w:t>Remedial</w:t>
            </w:r>
          </w:p>
        </w:tc>
        <w:tc>
          <w:tcPr>
            <w:tcW w:w="7376" w:type="dxa"/>
          </w:tcPr>
          <w:p w14:paraId="30DB86B7"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cs="Arial"/>
              </w:rPr>
            </w:pPr>
            <w:r>
              <w:rPr>
                <w:rFonts w:cs="Arial"/>
              </w:rPr>
              <w:t>Requiring a duty holder to f</w:t>
            </w:r>
            <w:r w:rsidRPr="60FB5349">
              <w:rPr>
                <w:rFonts w:cs="Arial"/>
              </w:rPr>
              <w:t>ix identified non-compliance to ensure the problem is rectified.</w:t>
            </w:r>
          </w:p>
          <w:p w14:paraId="70CBEA5A"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pPr>
            <w:r w:rsidRPr="60FB5349">
              <w:rPr>
                <w:rFonts w:cs="Arial"/>
              </w:rPr>
              <w:t>Remedial action can include written or verbal advice, enforceable remedial notices</w:t>
            </w:r>
            <w:r>
              <w:rPr>
                <w:rFonts w:cs="Arial"/>
              </w:rPr>
              <w:t xml:space="preserve"> or directions, or imposing conditions on registration</w:t>
            </w:r>
            <w:r w:rsidRPr="60FB5349">
              <w:rPr>
                <w:rFonts w:cs="Arial"/>
              </w:rPr>
              <w:t>.</w:t>
            </w:r>
          </w:p>
        </w:tc>
      </w:tr>
      <w:tr w:rsidR="00950E29" w14:paraId="261A4976" w14:textId="77777777" w:rsidTr="00BB401F">
        <w:tc>
          <w:tcPr>
            <w:cnfStyle w:val="001000000000" w:firstRow="0" w:lastRow="0" w:firstColumn="1" w:lastColumn="0" w:oddVBand="0" w:evenVBand="0" w:oddHBand="0" w:evenHBand="0" w:firstRowFirstColumn="0" w:firstRowLastColumn="0" w:lastRowFirstColumn="0" w:lastRowLastColumn="0"/>
            <w:tcW w:w="1838" w:type="dxa"/>
            <w:tcBorders>
              <w:top w:val="single" w:sz="24" w:space="0" w:color="FFFFFF" w:themeColor="background1"/>
              <w:bottom w:val="single" w:sz="24" w:space="0" w:color="FFFFFF" w:themeColor="background1"/>
            </w:tcBorders>
          </w:tcPr>
          <w:p w14:paraId="11F0E7E0" w14:textId="77777777" w:rsidR="00950E29" w:rsidRPr="00BF655A" w:rsidRDefault="00950E29" w:rsidP="00950E29">
            <w:pPr>
              <w:pStyle w:val="Tabletext6pt"/>
              <w:rPr>
                <w:b/>
                <w:bCs/>
              </w:rPr>
            </w:pPr>
            <w:r w:rsidRPr="00BF655A">
              <w:rPr>
                <w:b/>
                <w:bCs/>
              </w:rPr>
              <w:t>Collaborative peer-regulation</w:t>
            </w:r>
          </w:p>
        </w:tc>
        <w:tc>
          <w:tcPr>
            <w:tcW w:w="7376" w:type="dxa"/>
          </w:tcPr>
          <w:p w14:paraId="61FC461A"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pPr>
            <w:r>
              <w:t>Sharing information, joint operations and referrals allow better targeting and broader reach.</w:t>
            </w:r>
          </w:p>
        </w:tc>
      </w:tr>
      <w:tr w:rsidR="00950E29" w14:paraId="25C7F90A" w14:textId="77777777" w:rsidTr="00BB401F">
        <w:tc>
          <w:tcPr>
            <w:cnfStyle w:val="001000000000" w:firstRow="0" w:lastRow="0" w:firstColumn="1" w:lastColumn="0" w:oddVBand="0" w:evenVBand="0" w:oddHBand="0" w:evenHBand="0" w:firstRowFirstColumn="0" w:firstRowLastColumn="0" w:lastRowFirstColumn="0" w:lastRowLastColumn="0"/>
            <w:tcW w:w="1838" w:type="dxa"/>
            <w:tcBorders>
              <w:top w:val="single" w:sz="24" w:space="0" w:color="FFFFFF" w:themeColor="background1"/>
            </w:tcBorders>
          </w:tcPr>
          <w:p w14:paraId="5980EA90" w14:textId="77777777" w:rsidR="00950E29" w:rsidRPr="00BF655A" w:rsidRDefault="00950E29" w:rsidP="00950E29">
            <w:pPr>
              <w:pStyle w:val="Tabletext6pt"/>
              <w:rPr>
                <w:b/>
                <w:bCs/>
              </w:rPr>
            </w:pPr>
            <w:r w:rsidRPr="00BF655A">
              <w:rPr>
                <w:b/>
                <w:bCs/>
              </w:rPr>
              <w:t>Sanctions</w:t>
            </w:r>
          </w:p>
        </w:tc>
        <w:tc>
          <w:tcPr>
            <w:tcW w:w="7376" w:type="dxa"/>
          </w:tcPr>
          <w:p w14:paraId="41B38714"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rPr>
                <w:rFonts w:cs="Arial"/>
              </w:rPr>
            </w:pPr>
            <w:r w:rsidRPr="5E115447">
              <w:rPr>
                <w:rFonts w:cs="Arial"/>
              </w:rPr>
              <w:t xml:space="preserve">Placing limitations or restrictions on </w:t>
            </w:r>
            <w:r>
              <w:rPr>
                <w:rFonts w:cs="Arial"/>
              </w:rPr>
              <w:t>duty holder</w:t>
            </w:r>
            <w:r w:rsidRPr="5E115447">
              <w:rPr>
                <w:rFonts w:cs="Arial"/>
              </w:rPr>
              <w:t>s</w:t>
            </w:r>
            <w:r>
              <w:rPr>
                <w:rFonts w:cs="Arial"/>
              </w:rPr>
              <w:t>, or imposing penalties.</w:t>
            </w:r>
          </w:p>
          <w:p w14:paraId="1F51F245" w14:textId="77777777" w:rsidR="00950E29" w:rsidRDefault="00950E29" w:rsidP="00950E29">
            <w:pPr>
              <w:pStyle w:val="Tabletext6pt"/>
              <w:cnfStyle w:val="000000000000" w:firstRow="0" w:lastRow="0" w:firstColumn="0" w:lastColumn="0" w:oddVBand="0" w:evenVBand="0" w:oddHBand="0" w:evenHBand="0" w:firstRowFirstColumn="0" w:firstRowLastColumn="0" w:lastRowFirstColumn="0" w:lastRowLastColumn="0"/>
            </w:pPr>
            <w:r>
              <w:rPr>
                <w:rFonts w:cs="Arial"/>
              </w:rPr>
              <w:t xml:space="preserve">This may be done </w:t>
            </w:r>
            <w:r w:rsidRPr="5E115447">
              <w:rPr>
                <w:rFonts w:cs="Arial"/>
              </w:rPr>
              <w:t xml:space="preserve">to prevent </w:t>
            </w:r>
            <w:r>
              <w:rPr>
                <w:rFonts w:cs="Arial"/>
              </w:rPr>
              <w:t xml:space="preserve">duty holders </w:t>
            </w:r>
            <w:r w:rsidRPr="5E115447">
              <w:rPr>
                <w:rFonts w:cs="Arial"/>
              </w:rPr>
              <w:t>from committing further compliance breaches and placing people at serious risk</w:t>
            </w:r>
            <w:r>
              <w:rPr>
                <w:rFonts w:cs="Arial"/>
              </w:rPr>
              <w:t xml:space="preserve"> and/or </w:t>
            </w:r>
            <w:r w:rsidRPr="5E115447">
              <w:rPr>
                <w:rFonts w:cs="Arial"/>
              </w:rPr>
              <w:t xml:space="preserve">to promote compliance through deterrence. </w:t>
            </w:r>
          </w:p>
        </w:tc>
      </w:tr>
    </w:tbl>
    <w:p w14:paraId="03A9C26A" w14:textId="3D94E0D7" w:rsidR="00950E29" w:rsidRDefault="00950E29" w:rsidP="00950E29">
      <w:pPr>
        <w:pStyle w:val="Bodyaftertablefigure"/>
      </w:pPr>
      <w:bookmarkStart w:id="22" w:name="_Toc68684348"/>
      <w:r>
        <w:t xml:space="preserve">While the HSR emphasises preventative measures (such as education and guidance) as its starting point for engaging with duty holders, it will escalate to compliance and enforcement action where the risk is greater or where duty holders are uncooperative or repeatedly non-compliant. </w:t>
      </w:r>
      <w:r w:rsidRPr="006C50B2">
        <w:t xml:space="preserve">The </w:t>
      </w:r>
      <w:r w:rsidRPr="005A5F25">
        <w:t xml:space="preserve">emphasis of use </w:t>
      </w:r>
      <w:r>
        <w:t xml:space="preserve">of </w:t>
      </w:r>
      <w:r w:rsidRPr="006C50B2">
        <w:t>the</w:t>
      </w:r>
      <w:r w:rsidR="00BF17DF">
        <w:t>se</w:t>
      </w:r>
      <w:r w:rsidRPr="005A5F25">
        <w:rPr>
          <w:rFonts w:eastAsia="Times New Roman"/>
        </w:rPr>
        <w:t xml:space="preserve"> tools is </w:t>
      </w:r>
      <w:r w:rsidRPr="005A5F25">
        <w:t>shown</w:t>
      </w:r>
      <w:r w:rsidRPr="006C50B2">
        <w:t xml:space="preserve"> in </w:t>
      </w:r>
      <w:r w:rsidR="004A7D77">
        <w:fldChar w:fldCharType="begin"/>
      </w:r>
      <w:r w:rsidR="004A7D77">
        <w:instrText xml:space="preserve"> REF _Ref84383136 \h </w:instrText>
      </w:r>
      <w:r w:rsidR="004A7D77">
        <w:fldChar w:fldCharType="separate"/>
      </w:r>
      <w:r w:rsidR="004A7D77">
        <w:t xml:space="preserve">Figure </w:t>
      </w:r>
      <w:r w:rsidR="004A7D77">
        <w:rPr>
          <w:noProof/>
        </w:rPr>
        <w:t>2</w:t>
      </w:r>
      <w:r w:rsidR="004A7D77">
        <w:fldChar w:fldCharType="end"/>
      </w:r>
      <w:r w:rsidRPr="006C50B2">
        <w:t>.</w:t>
      </w:r>
    </w:p>
    <w:p w14:paraId="2D6DE92F" w14:textId="03717970" w:rsidR="006E28C4" w:rsidRDefault="006E28C4" w:rsidP="006E28C4">
      <w:pPr>
        <w:pStyle w:val="Figurecaption"/>
      </w:pPr>
      <w:bookmarkStart w:id="23" w:name="_Ref84383136"/>
      <w:r>
        <w:lastRenderedPageBreak/>
        <w:t xml:space="preserve">Figure </w:t>
      </w:r>
      <w:fldSimple w:instr=" SEQ Figure \* ARABIC ">
        <w:r w:rsidR="004A7D77">
          <w:rPr>
            <w:noProof/>
          </w:rPr>
          <w:t>2</w:t>
        </w:r>
      </w:fldSimple>
      <w:bookmarkEnd w:id="23"/>
      <w:r>
        <w:t>: Compliance activities emphasis</w:t>
      </w:r>
    </w:p>
    <w:p w14:paraId="2FBE37E9" w14:textId="20613270" w:rsidR="00950E29" w:rsidRPr="00950E29" w:rsidRDefault="00455EEB" w:rsidP="00950E29">
      <w:pPr>
        <w:pStyle w:val="Body"/>
        <w:rPr>
          <w:lang w:val="en-US"/>
        </w:rPr>
      </w:pPr>
      <w:r>
        <w:rPr>
          <w:noProof/>
          <w:lang w:val="en-US"/>
        </w:rPr>
        <w:drawing>
          <wp:inline distT="0" distB="0" distL="0" distR="0" wp14:anchorId="4BD8A87C" wp14:editId="5FB106AE">
            <wp:extent cx="5904230" cy="6036945"/>
            <wp:effectExtent l="0" t="0" r="1270" b="0"/>
            <wp:docPr id="15" name="Picture 15" descr="Compliance activity options for different issue severity. See Appendix B: Image descriptions for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mpliance activity options for different issue severity. See Appendix B: Image descriptions for text description."/>
                    <pic:cNvPicPr/>
                  </pic:nvPicPr>
                  <pic:blipFill>
                    <a:blip r:embed="rId21"/>
                    <a:stretch>
                      <a:fillRect/>
                    </a:stretch>
                  </pic:blipFill>
                  <pic:spPr>
                    <a:xfrm>
                      <a:off x="0" y="0"/>
                      <a:ext cx="5904230" cy="6036945"/>
                    </a:xfrm>
                    <a:prstGeom prst="rect">
                      <a:avLst/>
                    </a:prstGeom>
                  </pic:spPr>
                </pic:pic>
              </a:graphicData>
            </a:graphic>
          </wp:inline>
        </w:drawing>
      </w:r>
    </w:p>
    <w:p w14:paraId="30C60E50" w14:textId="77777777" w:rsidR="00950E29" w:rsidRPr="00166C59" w:rsidRDefault="00950E29" w:rsidP="00166C59">
      <w:pPr>
        <w:pStyle w:val="Body"/>
      </w:pPr>
      <w:bookmarkStart w:id="24" w:name="_Toc74671605"/>
      <w:r w:rsidRPr="00166C59">
        <w:br w:type="page"/>
      </w:r>
    </w:p>
    <w:p w14:paraId="2295667C" w14:textId="1855DB2D" w:rsidR="00950E29" w:rsidRPr="005A5F25" w:rsidRDefault="00950E29" w:rsidP="00950E29">
      <w:pPr>
        <w:pStyle w:val="Heading1"/>
      </w:pPr>
      <w:bookmarkStart w:id="25" w:name="_Toc83824874"/>
      <w:r w:rsidRPr="005A5F25">
        <w:lastRenderedPageBreak/>
        <w:t>3. Compliance monitoring and response to non-compliance</w:t>
      </w:r>
      <w:bookmarkEnd w:id="24"/>
      <w:bookmarkEnd w:id="25"/>
    </w:p>
    <w:p w14:paraId="58895B51" w14:textId="5BEE454B" w:rsidR="00950E29" w:rsidRDefault="00950E29" w:rsidP="00950E29">
      <w:r>
        <w:t xml:space="preserve">The HSR prioritises its efforts according to an assessment of harms, and risks of harm, to people receiving relevant services. </w:t>
      </w:r>
    </w:p>
    <w:tbl>
      <w:tblPr>
        <w:tblStyle w:val="HSRtable"/>
        <w:tblW w:w="0" w:type="auto"/>
        <w:tblBorders>
          <w:left w:val="single" w:sz="24" w:space="0" w:color="D50032"/>
          <w:insideH w:val="none" w:sz="0" w:space="0" w:color="auto"/>
          <w:insideV w:val="none" w:sz="0" w:space="0" w:color="auto"/>
        </w:tblBorders>
        <w:tblLook w:val="0480" w:firstRow="0" w:lastRow="0" w:firstColumn="1" w:lastColumn="0" w:noHBand="0" w:noVBand="1"/>
      </w:tblPr>
      <w:tblGrid>
        <w:gridCol w:w="9223"/>
      </w:tblGrid>
      <w:tr w:rsidR="00AF7EF0" w14:paraId="12A6F89E" w14:textId="77777777" w:rsidTr="00986DAD">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left w:val="single" w:sz="36" w:space="0" w:color="D50032"/>
              <w:bottom w:val="none" w:sz="0" w:space="0" w:color="auto"/>
              <w:right w:val="none" w:sz="0" w:space="0" w:color="auto"/>
              <w:tl2br w:val="none" w:sz="0" w:space="0" w:color="auto"/>
              <w:tr2bl w:val="none" w:sz="0" w:space="0" w:color="auto"/>
            </w:tcBorders>
          </w:tcPr>
          <w:p w14:paraId="4AD96FE8" w14:textId="61F14E2F" w:rsidR="00AF7EF0" w:rsidRDefault="00AF7EF0" w:rsidP="00AF7EF0">
            <w:pPr>
              <w:pStyle w:val="Textboxbody"/>
              <w:pBdr>
                <w:top w:val="none" w:sz="0" w:space="0" w:color="auto"/>
                <w:left w:val="none" w:sz="0" w:space="0" w:color="auto"/>
                <w:bottom w:val="none" w:sz="0" w:space="0" w:color="auto"/>
                <w:right w:val="none" w:sz="0" w:space="0" w:color="auto"/>
              </w:pBdr>
            </w:pPr>
            <w:r w:rsidRPr="00BF41FC">
              <w:rPr>
                <w:b/>
                <w:bCs/>
              </w:rPr>
              <w:t>Harm</w:t>
            </w:r>
            <w:r w:rsidRPr="002C7046">
              <w:t xml:space="preserve"> </w:t>
            </w:r>
            <w:r w:rsidRPr="00BF41FC">
              <w:t>has a broad definition within HSR’s regulatory portfolio and includes physical, psychological, emotional and financial harm as well as deprivation from or limitation of rights conferred under the Victorian Charter of Human Rights</w:t>
            </w:r>
          </w:p>
        </w:tc>
      </w:tr>
    </w:tbl>
    <w:p w14:paraId="7C1EE315" w14:textId="66D5AD99" w:rsidR="00950E29" w:rsidRDefault="00950E29" w:rsidP="00243222">
      <w:pPr>
        <w:pStyle w:val="Body"/>
        <w:spacing w:before="240"/>
      </w:pPr>
      <w:r>
        <w:t>The key activities based on this prioritisation include:</w:t>
      </w:r>
    </w:p>
    <w:p w14:paraId="47FAA932" w14:textId="77777777" w:rsidR="00950E29" w:rsidRPr="00675CDF" w:rsidRDefault="00950E29" w:rsidP="00950E29">
      <w:pPr>
        <w:pStyle w:val="Bullet1"/>
      </w:pPr>
      <w:r>
        <w:rPr>
          <w:b/>
          <w:bCs/>
        </w:rPr>
        <w:t>c</w:t>
      </w:r>
      <w:r w:rsidRPr="00675CDF">
        <w:rPr>
          <w:b/>
          <w:bCs/>
        </w:rPr>
        <w:t xml:space="preserve">ompliance monitoring </w:t>
      </w:r>
      <w:r w:rsidRPr="00675CDF">
        <w:t>(</w:t>
      </w:r>
      <w:r>
        <w:t xml:space="preserve">such as </w:t>
      </w:r>
      <w:r w:rsidRPr="00675CDF">
        <w:t>inspections, registration reviews, investigations and desktop assessments)</w:t>
      </w:r>
    </w:p>
    <w:p w14:paraId="7639B3B6" w14:textId="77777777" w:rsidR="00950E29" w:rsidRPr="00675CDF" w:rsidRDefault="00950E29" w:rsidP="00950E29">
      <w:pPr>
        <w:pStyle w:val="Bullet1"/>
      </w:pPr>
      <w:r>
        <w:rPr>
          <w:b/>
          <w:bCs/>
        </w:rPr>
        <w:t>a</w:t>
      </w:r>
      <w:r w:rsidRPr="00675CDF">
        <w:rPr>
          <w:b/>
          <w:bCs/>
        </w:rPr>
        <w:t xml:space="preserve">wareness raising </w:t>
      </w:r>
      <w:r w:rsidRPr="00675CDF">
        <w:t>(</w:t>
      </w:r>
      <w:r>
        <w:t>for example,</w:t>
      </w:r>
      <w:r w:rsidRPr="00675CDF">
        <w:t xml:space="preserve"> direct</w:t>
      </w:r>
      <w:r>
        <w:t>ing</w:t>
      </w:r>
      <w:r w:rsidRPr="00675CDF">
        <w:t xml:space="preserve"> to education resources</w:t>
      </w:r>
      <w:r>
        <w:t xml:space="preserve"> or</w:t>
      </w:r>
      <w:r w:rsidRPr="00675CDF">
        <w:t xml:space="preserve"> provid</w:t>
      </w:r>
      <w:r>
        <w:t>ing</w:t>
      </w:r>
      <w:r w:rsidRPr="00675CDF">
        <w:t xml:space="preserve"> compliance guidance)</w:t>
      </w:r>
    </w:p>
    <w:p w14:paraId="1EB03113" w14:textId="77777777" w:rsidR="00950E29" w:rsidRPr="00675CDF" w:rsidRDefault="00950E29" w:rsidP="00950E29">
      <w:pPr>
        <w:pStyle w:val="Bullet1"/>
      </w:pPr>
      <w:r>
        <w:rPr>
          <w:b/>
          <w:bCs/>
        </w:rPr>
        <w:t>c</w:t>
      </w:r>
      <w:r w:rsidRPr="00675CDF">
        <w:rPr>
          <w:b/>
          <w:bCs/>
        </w:rPr>
        <w:t xml:space="preserve">ompliance enforcement </w:t>
      </w:r>
      <w:r w:rsidRPr="00675CDF">
        <w:t>(</w:t>
      </w:r>
      <w:r>
        <w:t>for example</w:t>
      </w:r>
      <w:r w:rsidRPr="00675CDF">
        <w:t xml:space="preserve"> through remedial action or sanctions)</w:t>
      </w:r>
      <w:r>
        <w:t>.</w:t>
      </w:r>
    </w:p>
    <w:p w14:paraId="6857655D" w14:textId="77777777" w:rsidR="00950E29" w:rsidRDefault="00950E29" w:rsidP="00950E29">
      <w:pPr>
        <w:pStyle w:val="Bodyafterbullets"/>
      </w:pPr>
      <w:r w:rsidRPr="0A7891FC">
        <w:t xml:space="preserve">All </w:t>
      </w:r>
      <w:r>
        <w:t>duty holder</w:t>
      </w:r>
      <w:r w:rsidRPr="0A7891FC">
        <w:t xml:space="preserve">s are subject to compliance monitoring. The HSR considers risk and intelligence in deciding the level, frequency and focus of these monitoring activities. </w:t>
      </w:r>
    </w:p>
    <w:p w14:paraId="7BD89B37" w14:textId="77777777" w:rsidR="00950E29" w:rsidRDefault="00950E29" w:rsidP="00950E29">
      <w:pPr>
        <w:pStyle w:val="Body"/>
      </w:pPr>
      <w:r>
        <w:t>Duty holder</w:t>
      </w:r>
      <w:r w:rsidRPr="00BF41FC">
        <w:t>s who manage their risks well are likely to receive fewer inspections and will be considered to require less oversight.</w:t>
      </w:r>
    </w:p>
    <w:p w14:paraId="3FC7858A" w14:textId="77777777" w:rsidR="00950E29" w:rsidRPr="00BF41FC" w:rsidRDefault="00950E29" w:rsidP="00950E29">
      <w:pPr>
        <w:pStyle w:val="Body"/>
      </w:pPr>
      <w:r w:rsidRPr="00BF41FC">
        <w:t xml:space="preserve">Those </w:t>
      </w:r>
      <w:r>
        <w:t>with</w:t>
      </w:r>
      <w:r w:rsidRPr="00BF41FC">
        <w:t xml:space="preserve"> poor compliance history will likely be subject to more frequent and intensive desktop assessments, registration reviews and unannounced inspections.</w:t>
      </w:r>
    </w:p>
    <w:p w14:paraId="645AE303" w14:textId="77777777" w:rsidR="00950E29" w:rsidRPr="00BF41FC" w:rsidRDefault="00950E29" w:rsidP="00950E29">
      <w:pPr>
        <w:pStyle w:val="Body"/>
      </w:pPr>
      <w:r w:rsidRPr="00BF41FC">
        <w:t xml:space="preserve">The HSR’s </w:t>
      </w:r>
      <w:r w:rsidRPr="00BF41FC">
        <w:rPr>
          <w:i/>
          <w:iCs/>
        </w:rPr>
        <w:t>Annual regulatory plan</w:t>
      </w:r>
      <w:r w:rsidRPr="0005681A">
        <w:t xml:space="preserve"> </w:t>
      </w:r>
      <w:r w:rsidRPr="00BF41FC">
        <w:t>guides its monitoring programs.</w:t>
      </w:r>
    </w:p>
    <w:p w14:paraId="0DC3C8CD" w14:textId="77777777" w:rsidR="00950E29" w:rsidRDefault="00950E29" w:rsidP="00950E29">
      <w:pPr>
        <w:pStyle w:val="Heading2"/>
        <w:rPr>
          <w:szCs w:val="21"/>
        </w:rPr>
      </w:pPr>
      <w:bookmarkStart w:id="26" w:name="_Toc74671606"/>
      <w:bookmarkStart w:id="27" w:name="_Toc83824875"/>
      <w:r>
        <w:rPr>
          <w:rFonts w:eastAsia="Arial"/>
        </w:rPr>
        <w:t xml:space="preserve">The </w:t>
      </w:r>
      <w:r w:rsidRPr="7C340910">
        <w:rPr>
          <w:rFonts w:eastAsia="Arial"/>
        </w:rPr>
        <w:t xml:space="preserve">HSR’s </w:t>
      </w:r>
      <w:r>
        <w:rPr>
          <w:rFonts w:eastAsia="Arial"/>
        </w:rPr>
        <w:t>r</w:t>
      </w:r>
      <w:r w:rsidRPr="7C340910">
        <w:rPr>
          <w:rFonts w:eastAsia="Arial"/>
        </w:rPr>
        <w:t xml:space="preserve">egulatory </w:t>
      </w:r>
      <w:r>
        <w:rPr>
          <w:rFonts w:eastAsia="Arial"/>
        </w:rPr>
        <w:t>r</w:t>
      </w:r>
      <w:r w:rsidRPr="7C340910">
        <w:rPr>
          <w:rFonts w:eastAsia="Arial"/>
        </w:rPr>
        <w:t>esponse</w:t>
      </w:r>
      <w:r>
        <w:rPr>
          <w:rFonts w:eastAsia="Arial"/>
        </w:rPr>
        <w:t xml:space="preserve"> to non-compliance</w:t>
      </w:r>
      <w:bookmarkEnd w:id="26"/>
      <w:bookmarkEnd w:id="27"/>
    </w:p>
    <w:p w14:paraId="2AFB2ABA" w14:textId="77777777" w:rsidR="00950E29" w:rsidRPr="006B5CA6" w:rsidRDefault="00950E29" w:rsidP="00950E29">
      <w:pPr>
        <w:pStyle w:val="Body"/>
      </w:pPr>
      <w:r w:rsidRPr="0A7891FC">
        <w:t>In responding to non-compliance</w:t>
      </w:r>
      <w:r>
        <w:t>,</w:t>
      </w:r>
      <w:r w:rsidRPr="0A7891FC">
        <w:t xml:space="preserve"> the HSR take</w:t>
      </w:r>
      <w:r>
        <w:t>s</w:t>
      </w:r>
      <w:r w:rsidRPr="0A7891FC">
        <w:t xml:space="preserve"> action in an outcome-focused, impartial and proportionate manner. The </w:t>
      </w:r>
      <w:r w:rsidRPr="0A7891FC">
        <w:rPr>
          <w:lang w:val="en-US"/>
        </w:rPr>
        <w:t>HSR</w:t>
      </w:r>
      <w:r w:rsidRPr="0A7891FC">
        <w:t xml:space="preserve"> regulatory responses depend on assessment of: </w:t>
      </w:r>
    </w:p>
    <w:p w14:paraId="00A2FBA3" w14:textId="77777777" w:rsidR="00950E29" w:rsidRPr="00BF41FC" w:rsidRDefault="00950E29" w:rsidP="00950E29">
      <w:pPr>
        <w:pStyle w:val="Bullet1"/>
      </w:pPr>
      <w:r w:rsidRPr="00BF41FC">
        <w:rPr>
          <w:b/>
          <w:bCs/>
        </w:rPr>
        <w:t>risk</w:t>
      </w:r>
      <w:r w:rsidRPr="00BF41FC">
        <w:t xml:space="preserve"> </w:t>
      </w:r>
      <w:r w:rsidRPr="0005681A">
        <w:t xml:space="preserve">– considering </w:t>
      </w:r>
      <w:r>
        <w:t xml:space="preserve">the </w:t>
      </w:r>
      <w:r w:rsidRPr="0005681A">
        <w:t>likelihood and consequences of non-compliance</w:t>
      </w:r>
      <w:r w:rsidRPr="007657B9">
        <w:t xml:space="preserve">; and </w:t>
      </w:r>
    </w:p>
    <w:p w14:paraId="079C5C6F" w14:textId="77777777" w:rsidR="00950E29" w:rsidRPr="0005681A" w:rsidRDefault="00950E29" w:rsidP="00950E29">
      <w:pPr>
        <w:pStyle w:val="Bullet1"/>
      </w:pPr>
      <w:r w:rsidRPr="007657B9">
        <w:rPr>
          <w:b/>
          <w:bCs/>
        </w:rPr>
        <w:t>b</w:t>
      </w:r>
      <w:r w:rsidRPr="00BF41FC">
        <w:rPr>
          <w:b/>
          <w:bCs/>
        </w:rPr>
        <w:t>ehaviour and compliance attitude</w:t>
      </w:r>
      <w:r w:rsidRPr="00BF41FC">
        <w:t xml:space="preserve"> </w:t>
      </w:r>
      <w:r w:rsidRPr="0005681A">
        <w:t xml:space="preserve">– considering the degree of fault in the non-compliance related to </w:t>
      </w:r>
      <w:r>
        <w:t>duty holder</w:t>
      </w:r>
      <w:r w:rsidRPr="0005681A">
        <w:t xml:space="preserve"> behaviours. </w:t>
      </w:r>
    </w:p>
    <w:p w14:paraId="1492B4FE" w14:textId="77777777" w:rsidR="00950E29" w:rsidRDefault="00950E29" w:rsidP="00950E29">
      <w:pPr>
        <w:pStyle w:val="Bodyafterbullets"/>
      </w:pPr>
      <w:r>
        <w:t>When deciding on a regulatory response, t</w:t>
      </w:r>
      <w:r w:rsidRPr="006B5CA6">
        <w:t>he HSR also considers the</w:t>
      </w:r>
      <w:r>
        <w:t>:</w:t>
      </w:r>
    </w:p>
    <w:p w14:paraId="5B3628C2" w14:textId="77777777" w:rsidR="00950E29" w:rsidRDefault="00950E29" w:rsidP="00950E29">
      <w:pPr>
        <w:pStyle w:val="Bullet1"/>
      </w:pPr>
      <w:r w:rsidRPr="006B5CA6">
        <w:t>specific case and circumstances of the non-compliance</w:t>
      </w:r>
    </w:p>
    <w:p w14:paraId="47C690AD" w14:textId="77777777" w:rsidR="00950E29" w:rsidRPr="006B5CA6" w:rsidRDefault="00950E29" w:rsidP="00950E29">
      <w:pPr>
        <w:pStyle w:val="Bullet1"/>
      </w:pPr>
      <w:r w:rsidRPr="006B5CA6">
        <w:t>impact of an actio</w:t>
      </w:r>
      <w:r>
        <w:t>n.</w:t>
      </w:r>
    </w:p>
    <w:p w14:paraId="27A9181D" w14:textId="77777777" w:rsidR="00950E29" w:rsidRPr="00382DA4" w:rsidRDefault="00950E29" w:rsidP="00950E29">
      <w:pPr>
        <w:pStyle w:val="Bodyafterbullets"/>
      </w:pPr>
      <w:r w:rsidRPr="5E5C41FA">
        <w:t xml:space="preserve">The primary aim of </w:t>
      </w:r>
      <w:r>
        <w:t xml:space="preserve">the </w:t>
      </w:r>
      <w:r w:rsidRPr="5E5C41FA">
        <w:t>HSR</w:t>
      </w:r>
      <w:r>
        <w:t>’s</w:t>
      </w:r>
      <w:r w:rsidRPr="5E5C41FA">
        <w:t xml:space="preserve"> regulatory response is to detect and address risks to ensure that non-compliances are rectified and to prevent harm from occurring in the future.</w:t>
      </w:r>
      <w:r>
        <w:t xml:space="preserve"> T</w:t>
      </w:r>
      <w:r w:rsidRPr="5E5C41FA">
        <w:t>his is</w:t>
      </w:r>
      <w:r>
        <w:t xml:space="preserve"> primarily</w:t>
      </w:r>
      <w:r w:rsidRPr="5E5C41FA">
        <w:t xml:space="preserve"> done through a combination of registration reviews and remedial action.</w:t>
      </w:r>
      <w:r>
        <w:t xml:space="preserve"> </w:t>
      </w:r>
      <w:r w:rsidRPr="5E5C41FA">
        <w:t>While there may be costs associated with remedial actions, they are not punitive and are directed at addressing and stopping non-compliance.</w:t>
      </w:r>
    </w:p>
    <w:p w14:paraId="205F4447" w14:textId="77777777" w:rsidR="002F2641" w:rsidRDefault="002F2641">
      <w:pPr>
        <w:spacing w:after="0" w:line="240" w:lineRule="auto"/>
        <w:rPr>
          <w:rFonts w:eastAsia="MS Gothic"/>
          <w:bCs/>
          <w:color w:val="201547"/>
          <w:sz w:val="28"/>
          <w:szCs w:val="26"/>
        </w:rPr>
      </w:pPr>
      <w:bookmarkStart w:id="28" w:name="_Toc68684346"/>
      <w:r>
        <w:br w:type="page"/>
      </w:r>
    </w:p>
    <w:p w14:paraId="1D0ECD28" w14:textId="25C56277" w:rsidR="00950E29" w:rsidRDefault="00950E29" w:rsidP="00950E29">
      <w:pPr>
        <w:pStyle w:val="Heading3"/>
        <w:rPr>
          <w:rFonts w:eastAsia="Calibri" w:cs="Arial"/>
          <w:sz w:val="21"/>
          <w:szCs w:val="21"/>
        </w:rPr>
      </w:pPr>
      <w:bookmarkStart w:id="29" w:name="_How_the_HSR"/>
      <w:bookmarkEnd w:id="29"/>
      <w:r>
        <w:lastRenderedPageBreak/>
        <w:t>How the HSR assesses risk</w:t>
      </w:r>
      <w:bookmarkEnd w:id="28"/>
    </w:p>
    <w:p w14:paraId="5BE128FC" w14:textId="77777777" w:rsidR="00950E29" w:rsidRPr="006B5CA6" w:rsidRDefault="00950E29" w:rsidP="00950E29">
      <w:pPr>
        <w:pStyle w:val="Body"/>
      </w:pPr>
      <w:r w:rsidRPr="006B5CA6">
        <w:t xml:space="preserve">Our risk-based approach uses monitoring data and intelligence </w:t>
      </w:r>
      <w:r>
        <w:t xml:space="preserve">to analyse </w:t>
      </w:r>
      <w:r w:rsidRPr="006B5CA6">
        <w:t>the likelihood of risks occurring</w:t>
      </w:r>
      <w:r>
        <w:t xml:space="preserve"> and their impact</w:t>
      </w:r>
      <w:r w:rsidRPr="006B5CA6">
        <w:t>, to determine effective and proportionate regulatory responses.</w:t>
      </w:r>
      <w:r>
        <w:t xml:space="preserve"> </w:t>
      </w:r>
    </w:p>
    <w:p w14:paraId="67EE20E3" w14:textId="77777777" w:rsidR="00950E29" w:rsidRPr="006B5CA6" w:rsidRDefault="00950E29" w:rsidP="00950E29">
      <w:pPr>
        <w:pStyle w:val="Body"/>
      </w:pPr>
      <w:r w:rsidRPr="006B5CA6">
        <w:t>To assess risk, we analyse the:</w:t>
      </w:r>
    </w:p>
    <w:p w14:paraId="3570A066" w14:textId="77777777" w:rsidR="00950E29" w:rsidRPr="006B5CA6" w:rsidRDefault="00950E29" w:rsidP="00950E29">
      <w:pPr>
        <w:pStyle w:val="Bullet1"/>
      </w:pPr>
      <w:r>
        <w:rPr>
          <w:b/>
          <w:bCs/>
        </w:rPr>
        <w:t>c</w:t>
      </w:r>
      <w:r w:rsidRPr="006B5CA6">
        <w:rPr>
          <w:b/>
          <w:bCs/>
        </w:rPr>
        <w:t>onsequence of harm</w:t>
      </w:r>
      <w:r w:rsidRPr="006B5CA6">
        <w:t xml:space="preserve"> </w:t>
      </w:r>
      <w:r>
        <w:t>–</w:t>
      </w:r>
      <w:r w:rsidRPr="006B5CA6">
        <w:t xml:space="preserve"> the severity of potential or actual impact of harm on people</w:t>
      </w:r>
    </w:p>
    <w:p w14:paraId="3CC62D2A" w14:textId="78DD9CBC" w:rsidR="00950E29" w:rsidRPr="004F19E2" w:rsidRDefault="00950E29" w:rsidP="00950E29">
      <w:pPr>
        <w:pStyle w:val="Bullet1"/>
      </w:pPr>
      <w:r>
        <w:rPr>
          <w:b/>
          <w:bCs/>
        </w:rPr>
        <w:t>l</w:t>
      </w:r>
      <w:r w:rsidRPr="004F19E2">
        <w:rPr>
          <w:b/>
          <w:bCs/>
        </w:rPr>
        <w:t>ikelihood of harm occurring or continuing</w:t>
      </w:r>
      <w:r w:rsidRPr="004F19E2">
        <w:t xml:space="preserve"> – how likely it is that the </w:t>
      </w:r>
      <w:r>
        <w:t>duty holder</w:t>
      </w:r>
      <w:r w:rsidRPr="004F19E2">
        <w:t xml:space="preserve"> will breach their obligations, based on their compliance history, systems in place to identify and manage risk, capability to manage risk, the resources they dedicate to risk management and compliance attitude.</w:t>
      </w:r>
      <w:r>
        <w:t xml:space="preserve"> </w:t>
      </w:r>
      <w:r w:rsidRPr="004F19E2">
        <w:t xml:space="preserve">(See </w:t>
      </w:r>
      <w:r w:rsidR="004A7D77">
        <w:fldChar w:fldCharType="begin"/>
      </w:r>
      <w:r w:rsidR="004A7D77">
        <w:instrText xml:space="preserve"> REF _Ref84382706 \h </w:instrText>
      </w:r>
      <w:r w:rsidR="004A7D77">
        <w:fldChar w:fldCharType="separate"/>
      </w:r>
      <w:r w:rsidR="004A7D77">
        <w:t xml:space="preserve">Figure </w:t>
      </w:r>
      <w:r w:rsidR="004A7D77">
        <w:rPr>
          <w:noProof/>
        </w:rPr>
        <w:t>3</w:t>
      </w:r>
      <w:r w:rsidR="004A7D77">
        <w:fldChar w:fldCharType="end"/>
      </w:r>
      <w:r w:rsidR="002E3A65">
        <w:t>.</w:t>
      </w:r>
      <w:r w:rsidRPr="004F19E2">
        <w:t>)</w:t>
      </w:r>
    </w:p>
    <w:p w14:paraId="3E9DC98D" w14:textId="32C4BF0B" w:rsidR="006E28C4" w:rsidRPr="006E28C4" w:rsidRDefault="006E28C4" w:rsidP="006E28C4">
      <w:pPr>
        <w:pStyle w:val="Figurecaption"/>
      </w:pPr>
      <w:bookmarkStart w:id="30" w:name="_Ref84382706"/>
      <w:bookmarkStart w:id="31" w:name="_Ref84383104"/>
      <w:r>
        <w:t xml:space="preserve">Figure </w:t>
      </w:r>
      <w:fldSimple w:instr=" SEQ Figure \* ARABIC ">
        <w:r w:rsidR="004A7D77">
          <w:rPr>
            <w:noProof/>
          </w:rPr>
          <w:t>3</w:t>
        </w:r>
      </w:fldSimple>
      <w:bookmarkEnd w:id="30"/>
      <w:r>
        <w:t>: Risk analysis matrix</w:t>
      </w:r>
      <w:bookmarkEnd w:id="31"/>
    </w:p>
    <w:p w14:paraId="62F92F61" w14:textId="5E417C38" w:rsidR="00950E29" w:rsidRDefault="00950E29" w:rsidP="00950E29">
      <w:pPr>
        <w:pStyle w:val="Body"/>
      </w:pPr>
      <w:r>
        <w:rPr>
          <w:noProof/>
        </w:rPr>
        <w:drawing>
          <wp:inline distT="0" distB="0" distL="0" distR="0" wp14:anchorId="11474E62" wp14:editId="40CB1DA6">
            <wp:extent cx="4900613" cy="3669709"/>
            <wp:effectExtent l="0" t="0" r="1905" b="635"/>
            <wp:docPr id="18" name="Picture 18" descr="Risk assessment based on consequence and likelihood. Text description is in Appendix B: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isk assessment based on consequence and likelihood. Text description is in Appendix B: Image descriptions"/>
                    <pic:cNvPicPr/>
                  </pic:nvPicPr>
                  <pic:blipFill>
                    <a:blip r:embed="rId22"/>
                    <a:stretch>
                      <a:fillRect/>
                    </a:stretch>
                  </pic:blipFill>
                  <pic:spPr>
                    <a:xfrm>
                      <a:off x="0" y="0"/>
                      <a:ext cx="4921579" cy="3685409"/>
                    </a:xfrm>
                    <a:prstGeom prst="rect">
                      <a:avLst/>
                    </a:prstGeom>
                  </pic:spPr>
                </pic:pic>
              </a:graphicData>
            </a:graphic>
          </wp:inline>
        </w:drawing>
      </w:r>
    </w:p>
    <w:p w14:paraId="0C9B9746" w14:textId="2E2D0BA5" w:rsidR="00950E29" w:rsidRPr="006B5CA6" w:rsidRDefault="00950E29" w:rsidP="00950E29">
      <w:pPr>
        <w:pStyle w:val="Bodyaftertablefigure"/>
      </w:pPr>
      <w:r w:rsidRPr="006B5CA6">
        <w:t xml:space="preserve">The </w:t>
      </w:r>
      <w:r>
        <w:t xml:space="preserve">HSR addresses a wide range </w:t>
      </w:r>
      <w:r w:rsidRPr="006B5CA6">
        <w:t>of risk</w:t>
      </w:r>
      <w:r>
        <w:t xml:space="preserve">s, including </w:t>
      </w:r>
      <w:r w:rsidRPr="006B5CA6">
        <w:t>harm and adverse outcomes due to:</w:t>
      </w:r>
    </w:p>
    <w:p w14:paraId="480715A5" w14:textId="77777777" w:rsidR="00950E29" w:rsidRPr="006B5CA6" w:rsidRDefault="00950E29" w:rsidP="00950E29">
      <w:pPr>
        <w:pStyle w:val="Bullet1"/>
      </w:pPr>
      <w:r w:rsidRPr="006B5CA6">
        <w:t>neglect</w:t>
      </w:r>
    </w:p>
    <w:p w14:paraId="52D64424" w14:textId="77777777" w:rsidR="00950E29" w:rsidRPr="006B5CA6" w:rsidRDefault="00950E29" w:rsidP="00950E29">
      <w:pPr>
        <w:pStyle w:val="Bullet1"/>
      </w:pPr>
      <w:r w:rsidRPr="006B5CA6">
        <w:t>physical abuse</w:t>
      </w:r>
    </w:p>
    <w:p w14:paraId="0100F3D2" w14:textId="77777777" w:rsidR="00950E29" w:rsidRPr="006B5CA6" w:rsidRDefault="00950E29" w:rsidP="00950E29">
      <w:pPr>
        <w:pStyle w:val="Bullet1"/>
      </w:pPr>
      <w:r w:rsidRPr="006B5CA6">
        <w:t>emotional</w:t>
      </w:r>
      <w:r>
        <w:t xml:space="preserve"> or </w:t>
      </w:r>
      <w:r w:rsidRPr="006B5CA6">
        <w:t>psychological abuse</w:t>
      </w:r>
    </w:p>
    <w:p w14:paraId="1C96717E" w14:textId="77777777" w:rsidR="00950E29" w:rsidRPr="006B5CA6" w:rsidRDefault="00950E29" w:rsidP="00950E29">
      <w:pPr>
        <w:pStyle w:val="Bullet1"/>
      </w:pPr>
      <w:r w:rsidRPr="006B5CA6">
        <w:t xml:space="preserve">sexual abuse or exploitation </w:t>
      </w:r>
    </w:p>
    <w:p w14:paraId="528CBD13" w14:textId="77777777" w:rsidR="00950E29" w:rsidRPr="006B5CA6" w:rsidRDefault="00950E29" w:rsidP="007A7C24">
      <w:pPr>
        <w:pStyle w:val="Bullet1"/>
        <w:spacing w:after="120"/>
      </w:pPr>
      <w:r w:rsidRPr="006B5CA6">
        <w:t>financial abuse or exploitation</w:t>
      </w:r>
      <w:r>
        <w:t>.</w:t>
      </w:r>
    </w:p>
    <w:p w14:paraId="6F0A2824" w14:textId="74383468" w:rsidR="008357B7" w:rsidRPr="0005681A" w:rsidRDefault="00950E29" w:rsidP="00896171">
      <w:pPr>
        <w:pStyle w:val="Bodyafterbullets"/>
        <w:spacing w:before="240"/>
      </w:pPr>
      <w:r w:rsidRPr="006B5CA6">
        <w:t xml:space="preserve">These risks can </w:t>
      </w:r>
      <w:r w:rsidRPr="00986DAD">
        <w:rPr>
          <w:rStyle w:val="Strong"/>
        </w:rPr>
        <w:t>injure</w:t>
      </w:r>
      <w:r w:rsidRPr="006B5CA6">
        <w:t xml:space="preserve"> people in multiple ways, including physical</w:t>
      </w:r>
      <w:r>
        <w:t>ly</w:t>
      </w:r>
      <w:r w:rsidRPr="006B5CA6">
        <w:t>, psychological</w:t>
      </w:r>
      <w:r>
        <w:t>ly</w:t>
      </w:r>
      <w:r w:rsidRPr="006B5CA6">
        <w:t xml:space="preserve"> and emotional</w:t>
      </w:r>
      <w:r>
        <w:t>ly</w:t>
      </w:r>
      <w:r w:rsidRPr="006B5CA6">
        <w:t>. Often, the degree of harm to a person may not be known at the time, a risk may worsen over time</w:t>
      </w:r>
      <w:r>
        <w:t xml:space="preserve"> or may be dependent on the individual</w:t>
      </w:r>
      <w:r w:rsidRPr="006B5CA6">
        <w:t>. Therefore, the HSR’s assessment of consequence considers both actual harms and potential for harm.</w:t>
      </w:r>
    </w:p>
    <w:tbl>
      <w:tblPr>
        <w:tblStyle w:val="HSRtable"/>
        <w:tblW w:w="9237" w:type="dxa"/>
        <w:tblBorders>
          <w:left w:val="single" w:sz="24" w:space="0" w:color="D50032"/>
          <w:insideH w:val="none" w:sz="0" w:space="0" w:color="auto"/>
          <w:insideV w:val="none" w:sz="0" w:space="0" w:color="auto"/>
        </w:tblBorders>
        <w:tblLook w:val="0480" w:firstRow="0" w:lastRow="0" w:firstColumn="1" w:lastColumn="0" w:noHBand="0" w:noVBand="1"/>
      </w:tblPr>
      <w:tblGrid>
        <w:gridCol w:w="9237"/>
      </w:tblGrid>
      <w:tr w:rsidR="008357B7" w14:paraId="571D80A8" w14:textId="77777777" w:rsidTr="00896171">
        <w:trPr>
          <w:trHeight w:val="1064"/>
        </w:trPr>
        <w:tc>
          <w:tcPr>
            <w:cnfStyle w:val="001000000000" w:firstRow="0" w:lastRow="0" w:firstColumn="1" w:lastColumn="0" w:oddVBand="0" w:evenVBand="0" w:oddHBand="0" w:evenHBand="0" w:firstRowFirstColumn="0" w:firstRowLastColumn="0" w:lastRowFirstColumn="0" w:lastRowLastColumn="0"/>
            <w:tcW w:w="9237" w:type="dxa"/>
            <w:tcBorders>
              <w:top w:val="none" w:sz="0" w:space="0" w:color="auto"/>
              <w:left w:val="single" w:sz="36" w:space="0" w:color="D50032"/>
              <w:bottom w:val="none" w:sz="0" w:space="0" w:color="auto"/>
              <w:right w:val="none" w:sz="0" w:space="0" w:color="auto"/>
              <w:tl2br w:val="none" w:sz="0" w:space="0" w:color="auto"/>
              <w:tr2bl w:val="none" w:sz="0" w:space="0" w:color="auto"/>
            </w:tcBorders>
          </w:tcPr>
          <w:p w14:paraId="2FFB4F49" w14:textId="340565EF" w:rsidR="008357B7" w:rsidRDefault="008357B7" w:rsidP="006F3B88">
            <w:pPr>
              <w:pStyle w:val="Textboxbody"/>
              <w:pBdr>
                <w:top w:val="none" w:sz="0" w:space="0" w:color="auto"/>
                <w:left w:val="none" w:sz="0" w:space="0" w:color="auto"/>
                <w:bottom w:val="none" w:sz="0" w:space="0" w:color="auto"/>
                <w:right w:val="none" w:sz="0" w:space="0" w:color="auto"/>
              </w:pBdr>
            </w:pPr>
            <w:r>
              <w:t xml:space="preserve">In </w:t>
            </w:r>
            <w:r w:rsidRPr="0005681A">
              <w:t>this policy</w:t>
            </w:r>
            <w:r>
              <w:t>,</w:t>
            </w:r>
            <w:r w:rsidRPr="0005681A">
              <w:t xml:space="preserve"> </w:t>
            </w:r>
            <w:r w:rsidRPr="006C514C">
              <w:rPr>
                <w:b/>
                <w:bCs/>
              </w:rPr>
              <w:t>injury</w:t>
            </w:r>
            <w:r w:rsidRPr="0005681A">
              <w:t xml:space="preserve"> has a broad meaning and includes physical, psychological and emotional injury</w:t>
            </w:r>
            <w:r>
              <w:t xml:space="preserve"> (</w:t>
            </w:r>
            <w:r w:rsidRPr="0005681A">
              <w:t>including adverse effects suffered as a result of any form of neglect, abuse or exploitation</w:t>
            </w:r>
            <w:r>
              <w:t>).</w:t>
            </w:r>
          </w:p>
        </w:tc>
      </w:tr>
    </w:tbl>
    <w:p w14:paraId="485D9DDF" w14:textId="5EB28C63" w:rsidR="00950E29" w:rsidRPr="001209AA" w:rsidRDefault="00950E29" w:rsidP="00950E29">
      <w:pPr>
        <w:pStyle w:val="Bodyafterbullets"/>
      </w:pPr>
      <w:r w:rsidRPr="006B5CA6">
        <w:lastRenderedPageBreak/>
        <w:t xml:space="preserve">The following </w:t>
      </w:r>
      <w:r w:rsidRPr="001209AA">
        <w:t>table (</w:t>
      </w:r>
      <w:r w:rsidR="004A7D77">
        <w:fldChar w:fldCharType="begin"/>
      </w:r>
      <w:r w:rsidR="004A7D77">
        <w:instrText xml:space="preserve"> REF _Ref84383010 \h </w:instrText>
      </w:r>
      <w:r w:rsidR="004A7D77">
        <w:fldChar w:fldCharType="separate"/>
      </w:r>
      <w:r w:rsidR="004A7D77">
        <w:t xml:space="preserve">Table </w:t>
      </w:r>
      <w:r w:rsidR="004A7D77">
        <w:rPr>
          <w:noProof/>
        </w:rPr>
        <w:t>5</w:t>
      </w:r>
      <w:r w:rsidR="004A7D77">
        <w:fldChar w:fldCharType="end"/>
      </w:r>
      <w:r w:rsidRPr="001209AA">
        <w:t xml:space="preserve">) outlines how </w:t>
      </w:r>
      <w:r>
        <w:t xml:space="preserve">the </w:t>
      </w:r>
      <w:r w:rsidRPr="001209AA">
        <w:t>HSR generally considers consequence</w:t>
      </w:r>
      <w:r>
        <w:t>s</w:t>
      </w:r>
      <w:r w:rsidRPr="001209AA">
        <w:t xml:space="preserve"> or potential consequences in risk assessments. </w:t>
      </w:r>
    </w:p>
    <w:p w14:paraId="6FB97E78" w14:textId="5483C893" w:rsidR="006E28C4" w:rsidRPr="006E28C4" w:rsidRDefault="006E28C4" w:rsidP="006E28C4">
      <w:pPr>
        <w:pStyle w:val="Tablecaption"/>
      </w:pPr>
      <w:bookmarkStart w:id="32" w:name="_Ref84383010"/>
      <w:r>
        <w:t xml:space="preserve">Table </w:t>
      </w:r>
      <w:fldSimple w:instr=" SEQ Table \* ARABIC ">
        <w:r w:rsidR="004A7D77">
          <w:rPr>
            <w:noProof/>
          </w:rPr>
          <w:t>5</w:t>
        </w:r>
      </w:fldSimple>
      <w:bookmarkEnd w:id="32"/>
      <w:r>
        <w:t xml:space="preserve">: Assessment </w:t>
      </w:r>
      <w:r w:rsidR="000368C0">
        <w:t>of risk</w:t>
      </w:r>
      <w:r>
        <w:t xml:space="preserve"> consequence</w:t>
      </w:r>
    </w:p>
    <w:tbl>
      <w:tblPr>
        <w:tblStyle w:val="HRS2table"/>
        <w:tblW w:w="0" w:type="auto"/>
        <w:tblLook w:val="04A0" w:firstRow="1" w:lastRow="0" w:firstColumn="1" w:lastColumn="0" w:noHBand="0" w:noVBand="1"/>
      </w:tblPr>
      <w:tblGrid>
        <w:gridCol w:w="870"/>
        <w:gridCol w:w="8300"/>
      </w:tblGrid>
      <w:tr w:rsidR="006C2B86" w:rsidRPr="006C2B86" w14:paraId="7FC0E3B1" w14:textId="77777777" w:rsidTr="00C23F7C">
        <w:trPr>
          <w:trHeight w:val="286"/>
          <w:tblHeader/>
        </w:trPr>
        <w:tc>
          <w:tcPr>
            <w:cnfStyle w:val="001000000000" w:firstRow="0" w:lastRow="0" w:firstColumn="1" w:lastColumn="0" w:oddVBand="0" w:evenVBand="0" w:oddHBand="0" w:evenHBand="0" w:firstRowFirstColumn="0" w:firstRowLastColumn="0" w:lastRowFirstColumn="0" w:lastRowLastColumn="0"/>
            <w:tcW w:w="8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01547"/>
            <w:vAlign w:val="center"/>
          </w:tcPr>
          <w:p w14:paraId="0F762109" w14:textId="65FBAD85" w:rsidR="006C2B86" w:rsidRPr="00896171" w:rsidRDefault="006C2B86" w:rsidP="00896171">
            <w:pPr>
              <w:pStyle w:val="Tablecolhead"/>
            </w:pPr>
            <w:r w:rsidRPr="00896171">
              <w:t>Rating</w:t>
            </w:r>
          </w:p>
        </w:tc>
        <w:tc>
          <w:tcPr>
            <w:tcW w:w="830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01547"/>
            <w:vAlign w:val="center"/>
          </w:tcPr>
          <w:p w14:paraId="41DE1463" w14:textId="00DA8012" w:rsidR="006C2B86" w:rsidRPr="00896171" w:rsidRDefault="006C2B86" w:rsidP="00896171">
            <w:pPr>
              <w:pStyle w:val="Tablecolhead"/>
              <w:cnfStyle w:val="000000000000" w:firstRow="0" w:lastRow="0" w:firstColumn="0" w:lastColumn="0" w:oddVBand="0" w:evenVBand="0" w:oddHBand="0" w:evenHBand="0" w:firstRowFirstColumn="0" w:firstRowLastColumn="0" w:lastRowFirstColumn="0" w:lastRowLastColumn="0"/>
            </w:pPr>
            <w:r w:rsidRPr="00896171">
              <w:t>Description</w:t>
            </w:r>
          </w:p>
        </w:tc>
      </w:tr>
      <w:tr w:rsidR="002F2641" w14:paraId="4C933AD8" w14:textId="77777777" w:rsidTr="00AF1A4C">
        <w:trPr>
          <w:trHeight w:val="1161"/>
        </w:trPr>
        <w:tc>
          <w:tcPr>
            <w:cnfStyle w:val="001000000000" w:firstRow="0" w:lastRow="0" w:firstColumn="1" w:lastColumn="0" w:oddVBand="0" w:evenVBand="0" w:oddHBand="0" w:evenHBand="0" w:firstRowFirstColumn="0" w:firstRowLastColumn="0" w:lastRowFirstColumn="0" w:lastRowLastColumn="0"/>
            <w:tcW w:w="862" w:type="dxa"/>
            <w:tcBorders>
              <w:top w:val="single" w:sz="24" w:space="0" w:color="FFFFFF" w:themeColor="background1"/>
            </w:tcBorders>
            <w:vAlign w:val="center"/>
          </w:tcPr>
          <w:p w14:paraId="2C692F96" w14:textId="30733A58" w:rsidR="002F2641" w:rsidRPr="00BB401F" w:rsidRDefault="00E94DE6" w:rsidP="004A7D77">
            <w:pPr>
              <w:pStyle w:val="Body"/>
              <w:spacing w:after="0"/>
              <w:jc w:val="center"/>
              <w:rPr>
                <w:sz w:val="12"/>
                <w:szCs w:val="12"/>
              </w:rPr>
            </w:pPr>
            <w:r>
              <w:rPr>
                <w:noProof/>
                <w:sz w:val="12"/>
                <w:szCs w:val="12"/>
              </w:rPr>
              <w:drawing>
                <wp:inline distT="0" distB="0" distL="0" distR="0" wp14:anchorId="4F920122" wp14:editId="2F4253EA">
                  <wp:extent cx="270000" cy="900000"/>
                  <wp:effectExtent l="0" t="0" r="0" b="0"/>
                  <wp:docPr id="1" name="Picture 1" descr="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nor"/>
                          <pic:cNvPicPr/>
                        </pic:nvPicPr>
                        <pic:blipFill>
                          <a:blip r:embed="rId23"/>
                          <a:stretch>
                            <a:fillRect/>
                          </a:stretch>
                        </pic:blipFill>
                        <pic:spPr>
                          <a:xfrm>
                            <a:off x="0" y="0"/>
                            <a:ext cx="270000" cy="900000"/>
                          </a:xfrm>
                          <a:prstGeom prst="rect">
                            <a:avLst/>
                          </a:prstGeom>
                        </pic:spPr>
                      </pic:pic>
                    </a:graphicData>
                  </a:graphic>
                </wp:inline>
              </w:drawing>
            </w:r>
          </w:p>
        </w:tc>
        <w:tc>
          <w:tcPr>
            <w:tcW w:w="8300" w:type="dxa"/>
            <w:tcBorders>
              <w:top w:val="single" w:sz="24" w:space="0" w:color="FFFFFF" w:themeColor="background1"/>
            </w:tcBorders>
            <w:vAlign w:val="center"/>
          </w:tcPr>
          <w:p w14:paraId="05A49211" w14:textId="77777777"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Minor injury</w:t>
            </w:r>
          </w:p>
          <w:p w14:paraId="15845605" w14:textId="77777777"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Minor temporary impairment</w:t>
            </w:r>
          </w:p>
          <w:p w14:paraId="5A536695" w14:textId="10E4A801"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Restriction of activity and food choices</w:t>
            </w:r>
          </w:p>
        </w:tc>
      </w:tr>
      <w:tr w:rsidR="002F2641" w14:paraId="37D67467" w14:textId="77777777" w:rsidTr="00AF1A4C">
        <w:trPr>
          <w:trHeight w:val="1097"/>
        </w:trPr>
        <w:tc>
          <w:tcPr>
            <w:cnfStyle w:val="001000000000" w:firstRow="0" w:lastRow="0" w:firstColumn="1" w:lastColumn="0" w:oddVBand="0" w:evenVBand="0" w:oddHBand="0" w:evenHBand="0" w:firstRowFirstColumn="0" w:firstRowLastColumn="0" w:lastRowFirstColumn="0" w:lastRowLastColumn="0"/>
            <w:tcW w:w="862" w:type="dxa"/>
            <w:vAlign w:val="center"/>
          </w:tcPr>
          <w:p w14:paraId="47454CB5" w14:textId="160E17EA" w:rsidR="002F2641" w:rsidRPr="00BB401F" w:rsidRDefault="00E94DE6" w:rsidP="004A7D77">
            <w:pPr>
              <w:pStyle w:val="Body"/>
              <w:spacing w:after="0"/>
              <w:jc w:val="center"/>
              <w:rPr>
                <w:sz w:val="12"/>
                <w:szCs w:val="12"/>
              </w:rPr>
            </w:pPr>
            <w:r>
              <w:rPr>
                <w:noProof/>
                <w:sz w:val="12"/>
                <w:szCs w:val="12"/>
              </w:rPr>
              <w:drawing>
                <wp:inline distT="0" distB="0" distL="0" distR="0" wp14:anchorId="35B8184B" wp14:editId="7288B622">
                  <wp:extent cx="270000" cy="900000"/>
                  <wp:effectExtent l="0" t="0" r="0" b="0"/>
                  <wp:docPr id="8" name="Picture 8"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dium"/>
                          <pic:cNvPicPr/>
                        </pic:nvPicPr>
                        <pic:blipFill>
                          <a:blip r:embed="rId24"/>
                          <a:stretch>
                            <a:fillRect/>
                          </a:stretch>
                        </pic:blipFill>
                        <pic:spPr>
                          <a:xfrm>
                            <a:off x="0" y="0"/>
                            <a:ext cx="270000" cy="900000"/>
                          </a:xfrm>
                          <a:prstGeom prst="rect">
                            <a:avLst/>
                          </a:prstGeom>
                        </pic:spPr>
                      </pic:pic>
                    </a:graphicData>
                  </a:graphic>
                </wp:inline>
              </w:drawing>
            </w:r>
          </w:p>
        </w:tc>
        <w:tc>
          <w:tcPr>
            <w:tcW w:w="8300" w:type="dxa"/>
            <w:vAlign w:val="center"/>
          </w:tcPr>
          <w:p w14:paraId="46AF671D" w14:textId="609BE47B"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Moderate injury, exacerbation of existing illness or development of injury requiring regular treatment</w:t>
            </w:r>
          </w:p>
          <w:p w14:paraId="489C863C" w14:textId="5213A817" w:rsidR="002F2641" w:rsidRDefault="002F2641" w:rsidP="00924C1A">
            <w:pPr>
              <w:pStyle w:val="Tablebullet1"/>
              <w:cnfStyle w:val="000000000000" w:firstRow="0" w:lastRow="0" w:firstColumn="0" w:lastColumn="0" w:oddVBand="0" w:evenVBand="0" w:oddHBand="0" w:evenHBand="0" w:firstRowFirstColumn="0" w:firstRowLastColumn="0" w:lastRowFirstColumn="0" w:lastRowLastColumn="0"/>
            </w:pPr>
            <w:r>
              <w:t>Developmental issues</w:t>
            </w:r>
          </w:p>
        </w:tc>
      </w:tr>
      <w:tr w:rsidR="002F2641" w14:paraId="588E2125" w14:textId="77777777" w:rsidTr="00AF1A4C">
        <w:trPr>
          <w:trHeight w:val="1189"/>
        </w:trPr>
        <w:tc>
          <w:tcPr>
            <w:cnfStyle w:val="001000000000" w:firstRow="0" w:lastRow="0" w:firstColumn="1" w:lastColumn="0" w:oddVBand="0" w:evenVBand="0" w:oddHBand="0" w:evenHBand="0" w:firstRowFirstColumn="0" w:firstRowLastColumn="0" w:lastRowFirstColumn="0" w:lastRowLastColumn="0"/>
            <w:tcW w:w="862" w:type="dxa"/>
            <w:vAlign w:val="center"/>
          </w:tcPr>
          <w:p w14:paraId="393C6DA2" w14:textId="38DC16E9" w:rsidR="002F2641" w:rsidRPr="00BB401F" w:rsidRDefault="00E94DE6" w:rsidP="004A7D77">
            <w:pPr>
              <w:pStyle w:val="Body"/>
              <w:spacing w:after="0"/>
              <w:jc w:val="center"/>
              <w:rPr>
                <w:sz w:val="12"/>
                <w:szCs w:val="12"/>
              </w:rPr>
            </w:pPr>
            <w:r>
              <w:rPr>
                <w:noProof/>
                <w:sz w:val="12"/>
                <w:szCs w:val="12"/>
              </w:rPr>
              <w:drawing>
                <wp:inline distT="0" distB="0" distL="0" distR="0" wp14:anchorId="6E67C182" wp14:editId="1D778267">
                  <wp:extent cx="270000" cy="900000"/>
                  <wp:effectExtent l="0" t="0" r="0" b="0"/>
                  <wp:docPr id="12" name="Picture 12" descr="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jor"/>
                          <pic:cNvPicPr/>
                        </pic:nvPicPr>
                        <pic:blipFill>
                          <a:blip r:embed="rId25"/>
                          <a:stretch>
                            <a:fillRect/>
                          </a:stretch>
                        </pic:blipFill>
                        <pic:spPr>
                          <a:xfrm>
                            <a:off x="0" y="0"/>
                            <a:ext cx="270000" cy="900000"/>
                          </a:xfrm>
                          <a:prstGeom prst="rect">
                            <a:avLst/>
                          </a:prstGeom>
                        </pic:spPr>
                      </pic:pic>
                    </a:graphicData>
                  </a:graphic>
                </wp:inline>
              </w:drawing>
            </w:r>
          </w:p>
        </w:tc>
        <w:tc>
          <w:tcPr>
            <w:tcW w:w="8300" w:type="dxa"/>
            <w:vAlign w:val="center"/>
          </w:tcPr>
          <w:p w14:paraId="23ACDE99" w14:textId="77777777"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Premature expected death</w:t>
            </w:r>
          </w:p>
          <w:p w14:paraId="39E453DF" w14:textId="77777777"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Substantial or long-lasting injury or disability</w:t>
            </w:r>
          </w:p>
          <w:p w14:paraId="5E46AE00" w14:textId="07726603"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Financial harm</w:t>
            </w:r>
          </w:p>
        </w:tc>
      </w:tr>
      <w:tr w:rsidR="002F2641" w14:paraId="2964E1A4" w14:textId="77777777" w:rsidTr="00AF1A4C">
        <w:trPr>
          <w:trHeight w:val="1254"/>
        </w:trPr>
        <w:tc>
          <w:tcPr>
            <w:cnfStyle w:val="001000000000" w:firstRow="0" w:lastRow="0" w:firstColumn="1" w:lastColumn="0" w:oddVBand="0" w:evenVBand="0" w:oddHBand="0" w:evenHBand="0" w:firstRowFirstColumn="0" w:firstRowLastColumn="0" w:lastRowFirstColumn="0" w:lastRowLastColumn="0"/>
            <w:tcW w:w="862" w:type="dxa"/>
            <w:vAlign w:val="center"/>
          </w:tcPr>
          <w:p w14:paraId="5F9A7EE7" w14:textId="65FE89AA" w:rsidR="002F2641" w:rsidRPr="00BB401F" w:rsidRDefault="00E94DE6" w:rsidP="004A7D77">
            <w:pPr>
              <w:pStyle w:val="Body"/>
              <w:spacing w:after="0"/>
              <w:jc w:val="center"/>
              <w:rPr>
                <w:sz w:val="12"/>
                <w:szCs w:val="12"/>
              </w:rPr>
            </w:pPr>
            <w:r>
              <w:rPr>
                <w:noProof/>
                <w:sz w:val="12"/>
                <w:szCs w:val="12"/>
              </w:rPr>
              <w:drawing>
                <wp:inline distT="0" distB="0" distL="0" distR="0" wp14:anchorId="70F41F7D" wp14:editId="6FAD2DB0">
                  <wp:extent cx="269875" cy="881168"/>
                  <wp:effectExtent l="0" t="0" r="0" b="0"/>
                  <wp:docPr id="13" name="Picture 13" descr="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vere"/>
                          <pic:cNvPicPr/>
                        </pic:nvPicPr>
                        <pic:blipFill>
                          <a:blip r:embed="rId26">
                            <a:extLst>
                              <a:ext uri="{BEBA8EAE-BF5A-486C-A8C5-ECC9F3942E4B}">
                                <a14:imgProps xmlns:a14="http://schemas.microsoft.com/office/drawing/2010/main">
                                  <a14:imgLayer r:embed="rId27">
                                    <a14:imgEffect>
                                      <a14:colorTemperature colorTemp="10211"/>
                                    </a14:imgEffect>
                                    <a14:imgEffect>
                                      <a14:saturation sat="99000"/>
                                    </a14:imgEffect>
                                  </a14:imgLayer>
                                </a14:imgProps>
                              </a:ext>
                            </a:extLst>
                          </a:blip>
                          <a:stretch>
                            <a:fillRect/>
                          </a:stretch>
                        </pic:blipFill>
                        <pic:spPr>
                          <a:xfrm>
                            <a:off x="0" y="0"/>
                            <a:ext cx="270779" cy="884119"/>
                          </a:xfrm>
                          <a:prstGeom prst="rect">
                            <a:avLst/>
                          </a:prstGeom>
                        </pic:spPr>
                      </pic:pic>
                    </a:graphicData>
                  </a:graphic>
                </wp:inline>
              </w:drawing>
            </w:r>
          </w:p>
        </w:tc>
        <w:tc>
          <w:tcPr>
            <w:tcW w:w="8300" w:type="dxa"/>
            <w:vAlign w:val="center"/>
          </w:tcPr>
          <w:p w14:paraId="3D2299AE" w14:textId="77777777"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Avoidable death</w:t>
            </w:r>
          </w:p>
          <w:p w14:paraId="4503446D" w14:textId="736E7143" w:rsidR="002F2641" w:rsidRDefault="002F2641" w:rsidP="002F2641">
            <w:pPr>
              <w:pStyle w:val="Tablebullet1"/>
              <w:cnfStyle w:val="000000000000" w:firstRow="0" w:lastRow="0" w:firstColumn="0" w:lastColumn="0" w:oddVBand="0" w:evenVBand="0" w:oddHBand="0" w:evenHBand="0" w:firstRowFirstColumn="0" w:firstRowLastColumn="0" w:lastRowFirstColumn="0" w:lastRowLastColumn="0"/>
            </w:pPr>
            <w:r>
              <w:t>Severe, permanent or life-changing injury or disability</w:t>
            </w:r>
          </w:p>
        </w:tc>
      </w:tr>
    </w:tbl>
    <w:p w14:paraId="4487548B" w14:textId="39B25FDD" w:rsidR="00197372" w:rsidRDefault="00950E29" w:rsidP="00E94DE6">
      <w:pPr>
        <w:pStyle w:val="Bodyaftertablefigure"/>
        <w:spacing w:before="120"/>
      </w:pPr>
      <w:r>
        <w:t xml:space="preserve">Similarly, the HSR considers the likelihood of non-compliance based on a duty holder’s behaviours (past and present) and the quality of systems in place to prevent future risks. The most common factors of a duty holder’s likelihood of non-compliance are </w:t>
      </w:r>
      <w:r w:rsidRPr="001209AA">
        <w:t xml:space="preserve">listed in </w:t>
      </w:r>
      <w:r w:rsidR="004A7D77">
        <w:fldChar w:fldCharType="begin"/>
      </w:r>
      <w:r w:rsidR="004A7D77">
        <w:instrText xml:space="preserve"> REF _Ref84383049 \h </w:instrText>
      </w:r>
      <w:r w:rsidR="004A7D77">
        <w:fldChar w:fldCharType="separate"/>
      </w:r>
      <w:r w:rsidR="004A7D77">
        <w:t xml:space="preserve">Table </w:t>
      </w:r>
      <w:r w:rsidR="004A7D77">
        <w:rPr>
          <w:noProof/>
        </w:rPr>
        <w:t>6</w:t>
      </w:r>
      <w:r w:rsidR="004A7D77">
        <w:fldChar w:fldCharType="end"/>
      </w:r>
      <w:r w:rsidRPr="001209AA">
        <w:t>.</w:t>
      </w:r>
    </w:p>
    <w:p w14:paraId="315F8FF6" w14:textId="53F722A0" w:rsidR="00950E29" w:rsidRPr="000368C0" w:rsidRDefault="00197372" w:rsidP="000368C0">
      <w:pPr>
        <w:spacing w:after="0" w:line="240" w:lineRule="auto"/>
        <w:rPr>
          <w:rFonts w:eastAsia="Times"/>
        </w:rPr>
      </w:pPr>
      <w:r>
        <w:br w:type="page"/>
      </w:r>
    </w:p>
    <w:p w14:paraId="03956B92" w14:textId="224AF369" w:rsidR="006E28C4" w:rsidRDefault="006E28C4" w:rsidP="000368C0">
      <w:pPr>
        <w:pStyle w:val="Tablecaption"/>
      </w:pPr>
      <w:bookmarkStart w:id="33" w:name="_Ref84383049"/>
      <w:r>
        <w:lastRenderedPageBreak/>
        <w:t xml:space="preserve">Table </w:t>
      </w:r>
      <w:fldSimple w:instr=" SEQ Table \* ARABIC ">
        <w:r w:rsidR="00BC7311">
          <w:rPr>
            <w:noProof/>
          </w:rPr>
          <w:t>6</w:t>
        </w:r>
      </w:fldSimple>
      <w:bookmarkEnd w:id="33"/>
      <w:r>
        <w:t>: Assessment of risk likelihood</w:t>
      </w:r>
    </w:p>
    <w:tbl>
      <w:tblPr>
        <w:tblStyle w:val="HRS2table"/>
        <w:tblW w:w="9326" w:type="dxa"/>
        <w:tblLook w:val="04A0" w:firstRow="1" w:lastRow="0" w:firstColumn="1" w:lastColumn="0" w:noHBand="0" w:noVBand="1"/>
      </w:tblPr>
      <w:tblGrid>
        <w:gridCol w:w="870"/>
        <w:gridCol w:w="8456"/>
      </w:tblGrid>
      <w:tr w:rsidR="006C2B86" w:rsidRPr="007462AD" w14:paraId="01DB3474" w14:textId="77777777" w:rsidTr="00D8787F">
        <w:trPr>
          <w:trHeight w:val="32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01547"/>
            <w:vAlign w:val="center"/>
          </w:tcPr>
          <w:p w14:paraId="7FD69F62" w14:textId="77777777" w:rsidR="006C2B86" w:rsidRPr="007462AD" w:rsidRDefault="006C2B86" w:rsidP="007462AD">
            <w:pPr>
              <w:pStyle w:val="Tablecolhead"/>
            </w:pPr>
            <w:r w:rsidRPr="007462AD">
              <w:t>Rating</w:t>
            </w:r>
          </w:p>
        </w:tc>
        <w:tc>
          <w:tcPr>
            <w:tcW w:w="84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01547"/>
            <w:vAlign w:val="center"/>
          </w:tcPr>
          <w:p w14:paraId="67AD63D1" w14:textId="77777777" w:rsidR="006C2B86" w:rsidRPr="007462AD" w:rsidRDefault="006C2B86" w:rsidP="007462AD">
            <w:pPr>
              <w:pStyle w:val="Tablecolhead"/>
              <w:cnfStyle w:val="000000000000" w:firstRow="0" w:lastRow="0" w:firstColumn="0" w:lastColumn="0" w:oddVBand="0" w:evenVBand="0" w:oddHBand="0" w:evenHBand="0" w:firstRowFirstColumn="0" w:firstRowLastColumn="0" w:lastRowFirstColumn="0" w:lastRowLastColumn="0"/>
            </w:pPr>
            <w:r w:rsidRPr="007462AD">
              <w:t>Description</w:t>
            </w:r>
          </w:p>
        </w:tc>
      </w:tr>
      <w:tr w:rsidR="00BB401F" w14:paraId="0553EE1B" w14:textId="77777777" w:rsidTr="00AA7E8F">
        <w:trPr>
          <w:trHeight w:val="1411"/>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FFFFFF" w:themeColor="background1"/>
            </w:tcBorders>
            <w:vAlign w:val="center"/>
          </w:tcPr>
          <w:p w14:paraId="46D5F7F7" w14:textId="03D97C24" w:rsidR="00BB401F" w:rsidRPr="00BB401F" w:rsidRDefault="00E94DE6" w:rsidP="004A7D77">
            <w:pPr>
              <w:pStyle w:val="Body"/>
              <w:spacing w:after="0"/>
              <w:jc w:val="center"/>
              <w:rPr>
                <w:sz w:val="12"/>
                <w:szCs w:val="12"/>
              </w:rPr>
            </w:pPr>
            <w:r>
              <w:rPr>
                <w:noProof/>
                <w:sz w:val="12"/>
                <w:szCs w:val="12"/>
              </w:rPr>
              <w:drawing>
                <wp:inline distT="0" distB="0" distL="0" distR="0" wp14:anchorId="497C13B2" wp14:editId="7D49C49B">
                  <wp:extent cx="270000" cy="896400"/>
                  <wp:effectExtent l="0" t="0" r="0" b="0"/>
                  <wp:docPr id="14" name="Picture 14" descr="Un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likely"/>
                          <pic:cNvPicPr/>
                        </pic:nvPicPr>
                        <pic:blipFill>
                          <a:blip r:embed="rId28"/>
                          <a:stretch>
                            <a:fillRect/>
                          </a:stretch>
                        </pic:blipFill>
                        <pic:spPr>
                          <a:xfrm>
                            <a:off x="0" y="0"/>
                            <a:ext cx="270000" cy="896400"/>
                          </a:xfrm>
                          <a:prstGeom prst="rect">
                            <a:avLst/>
                          </a:prstGeom>
                        </pic:spPr>
                      </pic:pic>
                    </a:graphicData>
                  </a:graphic>
                </wp:inline>
              </w:drawing>
            </w:r>
          </w:p>
        </w:tc>
        <w:tc>
          <w:tcPr>
            <w:tcW w:w="8456" w:type="dxa"/>
            <w:tcBorders>
              <w:top w:val="single" w:sz="24" w:space="0" w:color="FFFFFF" w:themeColor="background1"/>
            </w:tcBorders>
            <w:vAlign w:val="center"/>
          </w:tcPr>
          <w:p w14:paraId="11E7D145" w14:textId="2BD39F97" w:rsidR="00BB401F" w:rsidRDefault="00BB401F" w:rsidP="0027133F">
            <w:pPr>
              <w:pStyle w:val="Tablebullet1"/>
              <w:cnfStyle w:val="000000000000" w:firstRow="0" w:lastRow="0" w:firstColumn="0" w:lastColumn="0" w:oddVBand="0" w:evenVBand="0" w:oddHBand="0" w:evenHBand="0" w:firstRowFirstColumn="0" w:firstRowLastColumn="0" w:lastRowFirstColumn="0" w:lastRowLastColumn="0"/>
            </w:pPr>
            <w:r w:rsidRPr="00BB401F">
              <w:t xml:space="preserve">Duty holders who are willing to comply and have capacity to comply with </w:t>
            </w:r>
            <w:r w:rsidR="00D244AB">
              <w:t xml:space="preserve">only isolated </w:t>
            </w:r>
            <w:r w:rsidRPr="00BB401F">
              <w:t>previous incidents of non-compliance and complaints</w:t>
            </w:r>
          </w:p>
        </w:tc>
      </w:tr>
      <w:tr w:rsidR="00BB401F" w14:paraId="3E33338E" w14:textId="77777777" w:rsidTr="00AA7E8F">
        <w:trPr>
          <w:trHeight w:val="1411"/>
        </w:trPr>
        <w:tc>
          <w:tcPr>
            <w:cnfStyle w:val="001000000000" w:firstRow="0" w:lastRow="0" w:firstColumn="1" w:lastColumn="0" w:oddVBand="0" w:evenVBand="0" w:oddHBand="0" w:evenHBand="0" w:firstRowFirstColumn="0" w:firstRowLastColumn="0" w:lastRowFirstColumn="0" w:lastRowLastColumn="0"/>
            <w:tcW w:w="0" w:type="dxa"/>
            <w:vAlign w:val="center"/>
          </w:tcPr>
          <w:p w14:paraId="7FE23176" w14:textId="28D4F826" w:rsidR="00BB401F" w:rsidRPr="00BB401F" w:rsidRDefault="00E94DE6" w:rsidP="004A7D77">
            <w:pPr>
              <w:pStyle w:val="Body"/>
              <w:spacing w:after="0"/>
              <w:jc w:val="center"/>
              <w:rPr>
                <w:sz w:val="12"/>
                <w:szCs w:val="12"/>
              </w:rPr>
            </w:pPr>
            <w:r>
              <w:rPr>
                <w:noProof/>
                <w:sz w:val="12"/>
                <w:szCs w:val="12"/>
              </w:rPr>
              <w:drawing>
                <wp:inline distT="0" distB="0" distL="0" distR="0" wp14:anchorId="0D409A82" wp14:editId="38A117EE">
                  <wp:extent cx="270000" cy="896400"/>
                  <wp:effectExtent l="0" t="0" r="0" b="0"/>
                  <wp:docPr id="16" name="Picture 16" descr="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ssible"/>
                          <pic:cNvPicPr/>
                        </pic:nvPicPr>
                        <pic:blipFill>
                          <a:blip r:embed="rId29"/>
                          <a:stretch>
                            <a:fillRect/>
                          </a:stretch>
                        </pic:blipFill>
                        <pic:spPr>
                          <a:xfrm>
                            <a:off x="0" y="0"/>
                            <a:ext cx="270000" cy="896400"/>
                          </a:xfrm>
                          <a:prstGeom prst="rect">
                            <a:avLst/>
                          </a:prstGeom>
                        </pic:spPr>
                      </pic:pic>
                    </a:graphicData>
                  </a:graphic>
                </wp:inline>
              </w:drawing>
            </w:r>
          </w:p>
        </w:tc>
        <w:tc>
          <w:tcPr>
            <w:tcW w:w="8456" w:type="dxa"/>
            <w:vAlign w:val="center"/>
          </w:tcPr>
          <w:p w14:paraId="13AE9900" w14:textId="41811722"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 xml:space="preserve">Duty holders who engage in repeated non-compliance and have questionable capacity to meet </w:t>
            </w:r>
            <w:r w:rsidR="00260460">
              <w:t>regulatory</w:t>
            </w:r>
            <w:r>
              <w:t xml:space="preserve"> requirements</w:t>
            </w:r>
          </w:p>
          <w:p w14:paraId="76372FD7" w14:textId="2C305F1C"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Duty holders who demonstrate patterns of non-compliance and have poor risk-management processes in place</w:t>
            </w:r>
          </w:p>
        </w:tc>
      </w:tr>
      <w:tr w:rsidR="00BB401F" w14:paraId="4379868A" w14:textId="77777777" w:rsidTr="00AA7E8F">
        <w:trPr>
          <w:trHeight w:val="1411"/>
        </w:trPr>
        <w:tc>
          <w:tcPr>
            <w:cnfStyle w:val="001000000000" w:firstRow="0" w:lastRow="0" w:firstColumn="1" w:lastColumn="0" w:oddVBand="0" w:evenVBand="0" w:oddHBand="0" w:evenHBand="0" w:firstRowFirstColumn="0" w:firstRowLastColumn="0" w:lastRowFirstColumn="0" w:lastRowLastColumn="0"/>
            <w:tcW w:w="0" w:type="dxa"/>
            <w:vAlign w:val="center"/>
          </w:tcPr>
          <w:p w14:paraId="4D4DB084" w14:textId="46A2E6B8" w:rsidR="00BB401F" w:rsidRPr="00BB401F" w:rsidRDefault="00E94DE6" w:rsidP="004A7D77">
            <w:pPr>
              <w:pStyle w:val="Body"/>
              <w:spacing w:after="0"/>
              <w:jc w:val="center"/>
              <w:rPr>
                <w:sz w:val="12"/>
                <w:szCs w:val="12"/>
              </w:rPr>
            </w:pPr>
            <w:r>
              <w:rPr>
                <w:noProof/>
                <w:sz w:val="12"/>
                <w:szCs w:val="12"/>
              </w:rPr>
              <w:drawing>
                <wp:inline distT="0" distB="0" distL="0" distR="0" wp14:anchorId="727A09D1" wp14:editId="02DBB14F">
                  <wp:extent cx="270000" cy="896400"/>
                  <wp:effectExtent l="0" t="0" r="0" b="0"/>
                  <wp:docPr id="17" name="Picture 17" descr="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ikely"/>
                          <pic:cNvPicPr/>
                        </pic:nvPicPr>
                        <pic:blipFill>
                          <a:blip r:embed="rId30"/>
                          <a:stretch>
                            <a:fillRect/>
                          </a:stretch>
                        </pic:blipFill>
                        <pic:spPr>
                          <a:xfrm>
                            <a:off x="0" y="0"/>
                            <a:ext cx="270000" cy="896400"/>
                          </a:xfrm>
                          <a:prstGeom prst="rect">
                            <a:avLst/>
                          </a:prstGeom>
                        </pic:spPr>
                      </pic:pic>
                    </a:graphicData>
                  </a:graphic>
                </wp:inline>
              </w:drawing>
            </w:r>
          </w:p>
        </w:tc>
        <w:tc>
          <w:tcPr>
            <w:tcW w:w="8456" w:type="dxa"/>
            <w:vAlign w:val="center"/>
          </w:tcPr>
          <w:p w14:paraId="05230078"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Duty holders who demonstrate repeated patterns of non-compliance with limited resources to meet regulatory requirements</w:t>
            </w:r>
          </w:p>
          <w:p w14:paraId="564F83A0"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Duty holders who have limited processes and systems in place to identify and manage risks</w:t>
            </w:r>
          </w:p>
        </w:tc>
      </w:tr>
      <w:tr w:rsidR="00BB401F" w14:paraId="1A139B25" w14:textId="77777777" w:rsidTr="00AA7E8F">
        <w:trPr>
          <w:trHeight w:val="1411"/>
        </w:trPr>
        <w:tc>
          <w:tcPr>
            <w:cnfStyle w:val="001000000000" w:firstRow="0" w:lastRow="0" w:firstColumn="1" w:lastColumn="0" w:oddVBand="0" w:evenVBand="0" w:oddHBand="0" w:evenHBand="0" w:firstRowFirstColumn="0" w:firstRowLastColumn="0" w:lastRowFirstColumn="0" w:lastRowLastColumn="0"/>
            <w:tcW w:w="0" w:type="dxa"/>
            <w:vAlign w:val="center"/>
          </w:tcPr>
          <w:p w14:paraId="282B27D0" w14:textId="2B3F7D35" w:rsidR="00BB401F" w:rsidRPr="00BB401F" w:rsidRDefault="00455EEB" w:rsidP="004A7D77">
            <w:pPr>
              <w:pStyle w:val="Body"/>
              <w:spacing w:after="0"/>
              <w:jc w:val="center"/>
              <w:rPr>
                <w:sz w:val="12"/>
                <w:szCs w:val="12"/>
              </w:rPr>
            </w:pPr>
            <w:r>
              <w:rPr>
                <w:noProof/>
                <w:sz w:val="12"/>
                <w:szCs w:val="12"/>
              </w:rPr>
              <w:drawing>
                <wp:inline distT="0" distB="0" distL="0" distR="0" wp14:anchorId="622A0DBC" wp14:editId="3E298274">
                  <wp:extent cx="266700" cy="873660"/>
                  <wp:effectExtent l="0" t="0" r="0" b="3175"/>
                  <wp:docPr id="21" name="Picture 21" descr="Ce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ertain"/>
                          <pic:cNvPicPr/>
                        </pic:nvPicPr>
                        <pic:blipFill>
                          <a:blip r:embed="rId31"/>
                          <a:stretch>
                            <a:fillRect/>
                          </a:stretch>
                        </pic:blipFill>
                        <pic:spPr>
                          <a:xfrm>
                            <a:off x="0" y="0"/>
                            <a:ext cx="268835" cy="880652"/>
                          </a:xfrm>
                          <a:prstGeom prst="rect">
                            <a:avLst/>
                          </a:prstGeom>
                        </pic:spPr>
                      </pic:pic>
                    </a:graphicData>
                  </a:graphic>
                </wp:inline>
              </w:drawing>
            </w:r>
          </w:p>
        </w:tc>
        <w:tc>
          <w:tcPr>
            <w:tcW w:w="8456" w:type="dxa"/>
            <w:vAlign w:val="center"/>
          </w:tcPr>
          <w:p w14:paraId="66FB1C0A"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Duty holders with a history of repeated severe non-compliance and significant complaint history</w:t>
            </w:r>
          </w:p>
          <w:p w14:paraId="7E65950A" w14:textId="4A6F8A91"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Duty holders who repeatedly fail to implement processes and systems to identify and manage risks after being put on notice about their lack of processes and systems</w:t>
            </w:r>
          </w:p>
        </w:tc>
      </w:tr>
    </w:tbl>
    <w:p w14:paraId="6E41A0BB" w14:textId="77777777" w:rsidR="00950E29" w:rsidRDefault="00950E29" w:rsidP="00BB401F">
      <w:pPr>
        <w:pStyle w:val="Bodyaftertablefigure"/>
      </w:pPr>
      <w:r>
        <w:t xml:space="preserve">When planning its responses and prioritising its effort, the HSR assesses both likelihood and consequence to determine an overall risk rating. Generally speaking, the greater the risk rating, the greater priority and seriousness of the response will be. </w:t>
      </w:r>
    </w:p>
    <w:p w14:paraId="66C02190" w14:textId="77777777" w:rsidR="00950E29" w:rsidRDefault="00950E29" w:rsidP="00950E29">
      <w:pPr>
        <w:pStyle w:val="Heading4"/>
      </w:pPr>
      <w:r>
        <w:t>For example</w:t>
      </w:r>
    </w:p>
    <w:p w14:paraId="73D4866C" w14:textId="77777777" w:rsidR="00950E29" w:rsidRPr="003337EA" w:rsidRDefault="00950E29" w:rsidP="00950E29">
      <w:pPr>
        <w:pStyle w:val="Bullet1"/>
      </w:pPr>
      <w:r>
        <w:t>R</w:t>
      </w:r>
      <w:r w:rsidRPr="003337EA">
        <w:t xml:space="preserve">egistration applications where the </w:t>
      </w:r>
      <w:r>
        <w:t>duty holder</w:t>
      </w:r>
      <w:r w:rsidRPr="003337EA">
        <w:t xml:space="preserve"> has a history of non-compliance</w:t>
      </w:r>
      <w:r>
        <w:t>:</w:t>
      </w:r>
      <w:r w:rsidRPr="003337EA">
        <w:t xml:space="preserve"> more</w:t>
      </w:r>
      <w:r w:rsidRPr="003337EA" w:rsidDel="005C396B">
        <w:t xml:space="preserve"> </w:t>
      </w:r>
      <w:r>
        <w:t>evidence may be needed</w:t>
      </w:r>
      <w:r w:rsidRPr="003337EA">
        <w:t xml:space="preserve"> to ensure that the </w:t>
      </w:r>
      <w:r>
        <w:t>duty holder</w:t>
      </w:r>
      <w:r w:rsidRPr="003337EA">
        <w:t xml:space="preserve"> does not pose any risk to health, safety and wellbeing</w:t>
      </w:r>
      <w:r>
        <w:t>. I</w:t>
      </w:r>
      <w:r w:rsidRPr="003337EA">
        <w:t xml:space="preserve">f appropriate, their registration may be granted subject to risk-mitigating conditions. </w:t>
      </w:r>
    </w:p>
    <w:p w14:paraId="3B35D9C4" w14:textId="77777777" w:rsidR="00950E29" w:rsidRPr="003337EA" w:rsidRDefault="00950E29" w:rsidP="00950E29">
      <w:pPr>
        <w:pStyle w:val="Bullet1"/>
      </w:pPr>
      <w:r w:rsidRPr="003337EA">
        <w:t>For a likely non-compliance with major impact</w:t>
      </w:r>
      <w:r>
        <w:t>:</w:t>
      </w:r>
      <w:r w:rsidRPr="003337EA">
        <w:t xml:space="preserve"> the response will be more demanding of the </w:t>
      </w:r>
      <w:r>
        <w:t>duty holder</w:t>
      </w:r>
      <w:r w:rsidRPr="003337EA">
        <w:t xml:space="preserve"> and may include</w:t>
      </w:r>
      <w:r>
        <w:t xml:space="preserve"> an enforceable remedial action.</w:t>
      </w:r>
    </w:p>
    <w:p w14:paraId="1BF009D9" w14:textId="77777777" w:rsidR="00950E29" w:rsidRPr="003337EA" w:rsidRDefault="00950E29" w:rsidP="00950E29">
      <w:pPr>
        <w:pStyle w:val="Bullet1"/>
      </w:pPr>
      <w:r>
        <w:t>W</w:t>
      </w:r>
      <w:r w:rsidRPr="003337EA">
        <w:t>here the impact is severe and likelihood of non-compliance is certain</w:t>
      </w:r>
      <w:r>
        <w:t xml:space="preserve">: </w:t>
      </w:r>
      <w:r w:rsidRPr="003337EA">
        <w:t>HSR will take regulatory action as soon as possible to mitigate the risk.</w:t>
      </w:r>
    </w:p>
    <w:p w14:paraId="62B694E9" w14:textId="77777777" w:rsidR="00950E29" w:rsidRPr="001E4FD3" w:rsidRDefault="00950E29" w:rsidP="00950E29">
      <w:pPr>
        <w:pStyle w:val="Heading3"/>
      </w:pPr>
      <w:bookmarkStart w:id="34" w:name="_Toc68684347"/>
      <w:r w:rsidRPr="001E4FD3">
        <w:t xml:space="preserve">How the HSR considers </w:t>
      </w:r>
      <w:r>
        <w:t>duty holder</w:t>
      </w:r>
      <w:r w:rsidRPr="001E4FD3">
        <w:t xml:space="preserve"> behaviour and attitude to compliance</w:t>
      </w:r>
      <w:bookmarkEnd w:id="34"/>
    </w:p>
    <w:p w14:paraId="117B88A3" w14:textId="77777777" w:rsidR="00950E29" w:rsidRDefault="00950E29" w:rsidP="00950E29">
      <w:pPr>
        <w:pStyle w:val="Body"/>
      </w:pPr>
      <w:r>
        <w:t>When deciding on the regulatory response to identified non-compliance, the HSR considers whether the duty holder was at fault and their degree of culpability in relation to the issue. For example, if the duty holder knew of the risk but chose not to take any steps to mitigate it, they are more likely to receive a sanction for the non-</w:t>
      </w:r>
      <w:r w:rsidRPr="001209AA">
        <w:t>compliance.</w:t>
      </w:r>
    </w:p>
    <w:p w14:paraId="4B358E76" w14:textId="7824349B" w:rsidR="00950E29" w:rsidRPr="001209AA" w:rsidRDefault="00950E29" w:rsidP="00950E29">
      <w:pPr>
        <w:pStyle w:val="Body"/>
      </w:pPr>
      <w:r w:rsidRPr="001209AA">
        <w:t xml:space="preserve">A summary of the range of </w:t>
      </w:r>
      <w:r>
        <w:t>duty holder</w:t>
      </w:r>
      <w:r w:rsidRPr="001209AA">
        <w:t xml:space="preserve"> behaviours and attitudes considered by HSR are included in </w:t>
      </w:r>
      <w:r w:rsidR="004A7D77">
        <w:fldChar w:fldCharType="begin"/>
      </w:r>
      <w:r w:rsidR="004A7D77">
        <w:instrText xml:space="preserve"> REF _Ref84382968 \h </w:instrText>
      </w:r>
      <w:r w:rsidR="004A7D77">
        <w:fldChar w:fldCharType="separate"/>
      </w:r>
      <w:r w:rsidR="004A7D77">
        <w:t xml:space="preserve">Table </w:t>
      </w:r>
      <w:r w:rsidR="004A7D77">
        <w:rPr>
          <w:noProof/>
        </w:rPr>
        <w:t>7</w:t>
      </w:r>
      <w:r w:rsidR="004A7D77">
        <w:fldChar w:fldCharType="end"/>
      </w:r>
      <w:r w:rsidRPr="001209AA">
        <w:t>.</w:t>
      </w:r>
    </w:p>
    <w:p w14:paraId="584FD061" w14:textId="3D7E2FA3" w:rsidR="000368C0" w:rsidRPr="000368C0" w:rsidRDefault="000368C0" w:rsidP="000368C0">
      <w:pPr>
        <w:pStyle w:val="Tablecaption"/>
      </w:pPr>
      <w:bookmarkStart w:id="35" w:name="_Ref84382968"/>
      <w:r>
        <w:lastRenderedPageBreak/>
        <w:t xml:space="preserve">Table </w:t>
      </w:r>
      <w:fldSimple w:instr=" SEQ Table \* ARABIC ">
        <w:r w:rsidR="00BC7311">
          <w:rPr>
            <w:noProof/>
          </w:rPr>
          <w:t>7</w:t>
        </w:r>
      </w:fldSimple>
      <w:bookmarkEnd w:id="35"/>
      <w:r>
        <w:t xml:space="preserve">: </w:t>
      </w:r>
      <w:r w:rsidRPr="007845A7">
        <w:t>Risk assessment of attitude and culpability</w:t>
      </w:r>
    </w:p>
    <w:tbl>
      <w:tblPr>
        <w:tblStyle w:val="HRS2table"/>
        <w:tblW w:w="0" w:type="auto"/>
        <w:tblLook w:val="04A0" w:firstRow="1" w:lastRow="0" w:firstColumn="1" w:lastColumn="0" w:noHBand="0" w:noVBand="1"/>
      </w:tblPr>
      <w:tblGrid>
        <w:gridCol w:w="870"/>
        <w:gridCol w:w="8368"/>
      </w:tblGrid>
      <w:tr w:rsidR="006C2B86" w:rsidRPr="007462AD" w14:paraId="1483557C" w14:textId="77777777" w:rsidTr="00CF57DE">
        <w:trPr>
          <w:trHeight w:val="320"/>
          <w:tblHeader/>
        </w:trPr>
        <w:tc>
          <w:tcPr>
            <w:cnfStyle w:val="001000000000" w:firstRow="0" w:lastRow="0" w:firstColumn="1" w:lastColumn="0" w:oddVBand="0" w:evenVBand="0" w:oddHBand="0" w:evenHBand="0" w:firstRowFirstColumn="0" w:firstRowLastColumn="0" w:lastRowFirstColumn="0" w:lastRowLastColumn="0"/>
            <w:tcW w:w="8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01547"/>
            <w:vAlign w:val="center"/>
          </w:tcPr>
          <w:p w14:paraId="13ACAC2D" w14:textId="77777777" w:rsidR="006C2B86" w:rsidRPr="007462AD" w:rsidRDefault="006C2B86" w:rsidP="007462AD">
            <w:pPr>
              <w:pStyle w:val="Tablecolhead"/>
            </w:pPr>
            <w:r w:rsidRPr="007462AD">
              <w:t>Rating</w:t>
            </w:r>
          </w:p>
        </w:tc>
        <w:tc>
          <w:tcPr>
            <w:tcW w:w="83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01547"/>
            <w:vAlign w:val="center"/>
          </w:tcPr>
          <w:p w14:paraId="6255E6C7" w14:textId="77777777" w:rsidR="006C2B86" w:rsidRPr="007462AD" w:rsidRDefault="006C2B86" w:rsidP="007462AD">
            <w:pPr>
              <w:pStyle w:val="Tablecolhead"/>
              <w:cnfStyle w:val="000000000000" w:firstRow="0" w:lastRow="0" w:firstColumn="0" w:lastColumn="0" w:oddVBand="0" w:evenVBand="0" w:oddHBand="0" w:evenHBand="0" w:firstRowFirstColumn="0" w:firstRowLastColumn="0" w:lastRowFirstColumn="0" w:lastRowLastColumn="0"/>
            </w:pPr>
            <w:r w:rsidRPr="007462AD">
              <w:t>Description</w:t>
            </w:r>
          </w:p>
        </w:tc>
      </w:tr>
      <w:tr w:rsidR="00BB401F" w14:paraId="3388F8C4" w14:textId="77777777" w:rsidTr="00781B84">
        <w:trPr>
          <w:trHeight w:val="1698"/>
        </w:trPr>
        <w:tc>
          <w:tcPr>
            <w:cnfStyle w:val="001000000000" w:firstRow="0" w:lastRow="0" w:firstColumn="1" w:lastColumn="0" w:oddVBand="0" w:evenVBand="0" w:oddHBand="0" w:evenHBand="0" w:firstRowFirstColumn="0" w:firstRowLastColumn="0" w:lastRowFirstColumn="0" w:lastRowLastColumn="0"/>
            <w:tcW w:w="870" w:type="dxa"/>
            <w:tcBorders>
              <w:top w:val="single" w:sz="24" w:space="0" w:color="FFFFFF" w:themeColor="background1"/>
            </w:tcBorders>
            <w:vAlign w:val="center"/>
          </w:tcPr>
          <w:p w14:paraId="5010DA59" w14:textId="56EC4011" w:rsidR="00BB401F" w:rsidRPr="00BB401F" w:rsidRDefault="00E94DE6" w:rsidP="004A7D77">
            <w:pPr>
              <w:pStyle w:val="Body"/>
              <w:spacing w:after="0"/>
              <w:jc w:val="center"/>
              <w:rPr>
                <w:sz w:val="12"/>
                <w:szCs w:val="12"/>
              </w:rPr>
            </w:pPr>
            <w:r>
              <w:rPr>
                <w:noProof/>
                <w:sz w:val="12"/>
                <w:szCs w:val="12"/>
              </w:rPr>
              <w:drawing>
                <wp:inline distT="0" distB="0" distL="0" distR="0" wp14:anchorId="4062A0D8" wp14:editId="340AD75C">
                  <wp:extent cx="269875" cy="1067435"/>
                  <wp:effectExtent l="0" t="0" r="0" b="0"/>
                  <wp:docPr id="20" name="Picture 20" descr="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inor"/>
                          <pic:cNvPicPr/>
                        </pic:nvPicPr>
                        <pic:blipFill>
                          <a:blip r:embed="rId23"/>
                          <a:stretch>
                            <a:fillRect/>
                          </a:stretch>
                        </pic:blipFill>
                        <pic:spPr>
                          <a:xfrm>
                            <a:off x="0" y="0"/>
                            <a:ext cx="270002" cy="1067937"/>
                          </a:xfrm>
                          <a:prstGeom prst="rect">
                            <a:avLst/>
                          </a:prstGeom>
                        </pic:spPr>
                      </pic:pic>
                    </a:graphicData>
                  </a:graphic>
                </wp:inline>
              </w:drawing>
            </w:r>
          </w:p>
        </w:tc>
        <w:tc>
          <w:tcPr>
            <w:tcW w:w="8368" w:type="dxa"/>
            <w:tcBorders>
              <w:top w:val="single" w:sz="24" w:space="0" w:color="FFFFFF" w:themeColor="background1"/>
            </w:tcBorders>
            <w:vAlign w:val="center"/>
          </w:tcPr>
          <w:p w14:paraId="059B39FD"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Has no intention to cause harm</w:t>
            </w:r>
          </w:p>
          <w:p w14:paraId="2F0C554F"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Proactively engages with regulatory process</w:t>
            </w:r>
          </w:p>
          <w:p w14:paraId="045E5FAC" w14:textId="3DB324CF"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Implements changes to prevent harms from recurring</w:t>
            </w:r>
          </w:p>
        </w:tc>
      </w:tr>
      <w:tr w:rsidR="00BB401F" w14:paraId="0782B0E0" w14:textId="77777777" w:rsidTr="00781B84">
        <w:trPr>
          <w:trHeight w:val="1698"/>
        </w:trPr>
        <w:tc>
          <w:tcPr>
            <w:cnfStyle w:val="001000000000" w:firstRow="0" w:lastRow="0" w:firstColumn="1" w:lastColumn="0" w:oddVBand="0" w:evenVBand="0" w:oddHBand="0" w:evenHBand="0" w:firstRowFirstColumn="0" w:firstRowLastColumn="0" w:lastRowFirstColumn="0" w:lastRowLastColumn="0"/>
            <w:tcW w:w="870" w:type="dxa"/>
            <w:vAlign w:val="center"/>
          </w:tcPr>
          <w:p w14:paraId="28BC4248" w14:textId="1C97E8C7" w:rsidR="00BB401F" w:rsidRPr="00BB401F" w:rsidRDefault="000B4C52" w:rsidP="004A7D77">
            <w:pPr>
              <w:pStyle w:val="Body"/>
              <w:spacing w:after="0"/>
              <w:jc w:val="center"/>
              <w:rPr>
                <w:sz w:val="12"/>
                <w:szCs w:val="12"/>
              </w:rPr>
            </w:pPr>
            <w:r>
              <w:rPr>
                <w:noProof/>
                <w:sz w:val="12"/>
                <w:szCs w:val="12"/>
              </w:rPr>
              <w:drawing>
                <wp:inline distT="0" distB="0" distL="0" distR="0" wp14:anchorId="290F8EDE" wp14:editId="3834C604">
                  <wp:extent cx="269875" cy="1032298"/>
                  <wp:effectExtent l="0" t="0" r="0" b="0"/>
                  <wp:docPr id="31" name="Picture 31"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dium"/>
                          <pic:cNvPicPr/>
                        </pic:nvPicPr>
                        <pic:blipFill>
                          <a:blip r:embed="rId24"/>
                          <a:stretch>
                            <a:fillRect/>
                          </a:stretch>
                        </pic:blipFill>
                        <pic:spPr>
                          <a:xfrm>
                            <a:off x="0" y="0"/>
                            <a:ext cx="271244" cy="1037535"/>
                          </a:xfrm>
                          <a:prstGeom prst="rect">
                            <a:avLst/>
                          </a:prstGeom>
                        </pic:spPr>
                      </pic:pic>
                    </a:graphicData>
                  </a:graphic>
                </wp:inline>
              </w:drawing>
            </w:r>
          </w:p>
        </w:tc>
        <w:tc>
          <w:tcPr>
            <w:tcW w:w="8368" w:type="dxa"/>
            <w:vAlign w:val="center"/>
          </w:tcPr>
          <w:p w14:paraId="69499622"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Acknowledges regulatory process but lacks capacity to comply</w:t>
            </w:r>
          </w:p>
          <w:p w14:paraId="471185D8"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Has lax attitude to compliance, requiring intervention by regulator</w:t>
            </w:r>
          </w:p>
          <w:p w14:paraId="2B8AD10D" w14:textId="0648941A"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Demonstrates patterns of disregard towards compliance requirements and fails to address reoccurrence of non-compliance</w:t>
            </w:r>
          </w:p>
        </w:tc>
      </w:tr>
      <w:tr w:rsidR="00BB401F" w14:paraId="33312E2C" w14:textId="77777777" w:rsidTr="00781B84">
        <w:trPr>
          <w:trHeight w:val="1698"/>
        </w:trPr>
        <w:tc>
          <w:tcPr>
            <w:cnfStyle w:val="001000000000" w:firstRow="0" w:lastRow="0" w:firstColumn="1" w:lastColumn="0" w:oddVBand="0" w:evenVBand="0" w:oddHBand="0" w:evenHBand="0" w:firstRowFirstColumn="0" w:firstRowLastColumn="0" w:lastRowFirstColumn="0" w:lastRowLastColumn="0"/>
            <w:tcW w:w="870" w:type="dxa"/>
            <w:vAlign w:val="center"/>
          </w:tcPr>
          <w:p w14:paraId="3BC829FD" w14:textId="0A05504B" w:rsidR="00BB401F" w:rsidRPr="00BB401F" w:rsidRDefault="00E94DE6" w:rsidP="004A7D77">
            <w:pPr>
              <w:pStyle w:val="Body"/>
              <w:spacing w:after="0"/>
              <w:jc w:val="center"/>
              <w:rPr>
                <w:sz w:val="12"/>
                <w:szCs w:val="12"/>
              </w:rPr>
            </w:pPr>
            <w:r>
              <w:rPr>
                <w:noProof/>
                <w:sz w:val="12"/>
                <w:szCs w:val="12"/>
              </w:rPr>
              <w:drawing>
                <wp:inline distT="0" distB="0" distL="0" distR="0" wp14:anchorId="08E60E96" wp14:editId="12E4FE40">
                  <wp:extent cx="269875" cy="1054735"/>
                  <wp:effectExtent l="0" t="0" r="0" b="0"/>
                  <wp:docPr id="24" name="Picture 24" descr="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jor"/>
                          <pic:cNvPicPr/>
                        </pic:nvPicPr>
                        <pic:blipFill>
                          <a:blip r:embed="rId25"/>
                          <a:stretch>
                            <a:fillRect/>
                          </a:stretch>
                        </pic:blipFill>
                        <pic:spPr>
                          <a:xfrm>
                            <a:off x="0" y="0"/>
                            <a:ext cx="270000" cy="1055224"/>
                          </a:xfrm>
                          <a:prstGeom prst="rect">
                            <a:avLst/>
                          </a:prstGeom>
                        </pic:spPr>
                      </pic:pic>
                    </a:graphicData>
                  </a:graphic>
                </wp:inline>
              </w:drawing>
            </w:r>
          </w:p>
        </w:tc>
        <w:tc>
          <w:tcPr>
            <w:tcW w:w="8368" w:type="dxa"/>
            <w:vAlign w:val="center"/>
          </w:tcPr>
          <w:p w14:paraId="61945F8B"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Reckless conduct that includes repeated non-compliance or systemic avoidance of compliance, ignorance of compliance requirements, behaviour that enables others' non-compliance</w:t>
            </w:r>
          </w:p>
          <w:p w14:paraId="142233BC"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Failing to act despite knowing of existing harms and consequences of non-compliance</w:t>
            </w:r>
          </w:p>
          <w:p w14:paraId="53D52675" w14:textId="7F277DC6"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Non-acknowledgement or non-engagement with regulatory process</w:t>
            </w:r>
          </w:p>
        </w:tc>
      </w:tr>
      <w:tr w:rsidR="00BB401F" w14:paraId="6CB7D457" w14:textId="77777777" w:rsidTr="00781B84">
        <w:trPr>
          <w:trHeight w:val="1698"/>
        </w:trPr>
        <w:tc>
          <w:tcPr>
            <w:cnfStyle w:val="001000000000" w:firstRow="0" w:lastRow="0" w:firstColumn="1" w:lastColumn="0" w:oddVBand="0" w:evenVBand="0" w:oddHBand="0" w:evenHBand="0" w:firstRowFirstColumn="0" w:firstRowLastColumn="0" w:lastRowFirstColumn="0" w:lastRowLastColumn="0"/>
            <w:tcW w:w="0" w:type="dxa"/>
            <w:vAlign w:val="center"/>
          </w:tcPr>
          <w:p w14:paraId="00C51565" w14:textId="0AC9CA07" w:rsidR="00BB401F" w:rsidRPr="00BB401F" w:rsidRDefault="00455EEB" w:rsidP="004A7D77">
            <w:pPr>
              <w:pStyle w:val="Body"/>
              <w:spacing w:after="0"/>
              <w:jc w:val="center"/>
              <w:rPr>
                <w:sz w:val="12"/>
                <w:szCs w:val="12"/>
              </w:rPr>
            </w:pPr>
            <w:r>
              <w:rPr>
                <w:noProof/>
                <w:sz w:val="12"/>
                <w:szCs w:val="12"/>
              </w:rPr>
              <w:drawing>
                <wp:inline distT="0" distB="0" distL="0" distR="0" wp14:anchorId="0DDE6A1D" wp14:editId="0AC518AA">
                  <wp:extent cx="269875" cy="983403"/>
                  <wp:effectExtent l="0" t="0" r="0" b="7620"/>
                  <wp:docPr id="23" name="Picture 23" descr="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vere"/>
                          <pic:cNvPicPr/>
                        </pic:nvPicPr>
                        <pic:blipFill>
                          <a:blip r:embed="rId32">
                            <a:extLst>
                              <a:ext uri="{BEBA8EAE-BF5A-486C-A8C5-ECC9F3942E4B}">
                                <a14:imgProps xmlns:a14="http://schemas.microsoft.com/office/drawing/2010/main">
                                  <a14:imgLayer r:embed="rId33">
                                    <a14:imgEffect>
                                      <a14:colorTemperature colorTemp="10076"/>
                                    </a14:imgEffect>
                                  </a14:imgLayer>
                                </a14:imgProps>
                              </a:ext>
                            </a:extLst>
                          </a:blip>
                          <a:stretch>
                            <a:fillRect/>
                          </a:stretch>
                        </pic:blipFill>
                        <pic:spPr>
                          <a:xfrm>
                            <a:off x="0" y="0"/>
                            <a:ext cx="272338" cy="992377"/>
                          </a:xfrm>
                          <a:prstGeom prst="rect">
                            <a:avLst/>
                          </a:prstGeom>
                        </pic:spPr>
                      </pic:pic>
                    </a:graphicData>
                  </a:graphic>
                </wp:inline>
              </w:drawing>
            </w:r>
          </w:p>
        </w:tc>
        <w:tc>
          <w:tcPr>
            <w:tcW w:w="0" w:type="dxa"/>
            <w:vAlign w:val="center"/>
          </w:tcPr>
          <w:p w14:paraId="3D60E0A6"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 xml:space="preserve">Deliberate, wilful or misleading conduct that includes ongoing non-compliance, deliberate omissions and action driven by personal gain </w:t>
            </w:r>
          </w:p>
          <w:p w14:paraId="48971220" w14:textId="77777777"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Deliberately inflicting harm, exploitative acts, predatory behaviour and criminal acts</w:t>
            </w:r>
          </w:p>
          <w:p w14:paraId="5CCAD770" w14:textId="669F3CF3" w:rsidR="00BB401F" w:rsidRDefault="00BB401F" w:rsidP="00BB401F">
            <w:pPr>
              <w:pStyle w:val="Tablebullet1"/>
              <w:cnfStyle w:val="000000000000" w:firstRow="0" w:lastRow="0" w:firstColumn="0" w:lastColumn="0" w:oddVBand="0" w:evenVBand="0" w:oddHBand="0" w:evenHBand="0" w:firstRowFirstColumn="0" w:firstRowLastColumn="0" w:lastRowFirstColumn="0" w:lastRowLastColumn="0"/>
            </w:pPr>
            <w:r>
              <w:t>No regard to obvious harm or consequences, or actively hindering regulatory action</w:t>
            </w:r>
          </w:p>
        </w:tc>
      </w:tr>
    </w:tbl>
    <w:p w14:paraId="0AF318BF" w14:textId="77777777" w:rsidR="002A3680" w:rsidRDefault="002A3680">
      <w:pPr>
        <w:spacing w:after="0" w:line="240" w:lineRule="auto"/>
        <w:rPr>
          <w:rFonts w:eastAsia="MS Gothic"/>
          <w:bCs/>
          <w:color w:val="201547"/>
          <w:sz w:val="28"/>
          <w:szCs w:val="26"/>
        </w:rPr>
      </w:pPr>
      <w:r>
        <w:br w:type="page"/>
      </w:r>
    </w:p>
    <w:p w14:paraId="14DA4EAC" w14:textId="30BA9579" w:rsidR="00950E29" w:rsidRPr="001E4FD3" w:rsidRDefault="00950E29" w:rsidP="00950E29">
      <w:pPr>
        <w:pStyle w:val="Heading3"/>
      </w:pPr>
      <w:r>
        <w:lastRenderedPageBreak/>
        <w:t xml:space="preserve">The HSR’s proportionate response </w:t>
      </w:r>
    </w:p>
    <w:p w14:paraId="1608E59E" w14:textId="63211911" w:rsidR="00950E29" w:rsidRDefault="00950E29" w:rsidP="00950E29">
      <w:pPr>
        <w:pStyle w:val="Body"/>
      </w:pPr>
      <w:r w:rsidRPr="00281B3D">
        <w:t xml:space="preserve">Once risk factors are </w:t>
      </w:r>
      <w:r>
        <w:t>assessed,</w:t>
      </w:r>
      <w:r w:rsidRPr="00281B3D">
        <w:t xml:space="preserve"> the HSR will consider and enact a proportionate response.</w:t>
      </w:r>
    </w:p>
    <w:p w14:paraId="6E5D9CA9" w14:textId="66DBBCAF" w:rsidR="00950E29" w:rsidRPr="00382DA4" w:rsidRDefault="00950E29" w:rsidP="00950E29">
      <w:pPr>
        <w:pStyle w:val="Body"/>
      </w:pPr>
      <w:r w:rsidRPr="00281B3D">
        <w:t>Whil</w:t>
      </w:r>
      <w:r>
        <w:t>e</w:t>
      </w:r>
      <w:r w:rsidRPr="00281B3D">
        <w:t xml:space="preserve"> it prioritise</w:t>
      </w:r>
      <w:r>
        <w:t>s</w:t>
      </w:r>
      <w:r w:rsidRPr="00281B3D">
        <w:t xml:space="preserve"> remedial responses to risks and non-compliances, it will also apply its referral and sanctioning tools</w:t>
      </w:r>
      <w:r>
        <w:t>,</w:t>
      </w:r>
      <w:r w:rsidRPr="00281B3D">
        <w:t xml:space="preserve"> where appropriate</w:t>
      </w:r>
      <w:r>
        <w:t>,</w:t>
      </w:r>
      <w:r w:rsidRPr="00281B3D">
        <w:t xml:space="preserve"> to the risk and the culpability of the </w:t>
      </w:r>
      <w:r>
        <w:t>duty holder</w:t>
      </w:r>
      <w:r w:rsidR="00EA1BE5">
        <w:t xml:space="preserve"> (</w:t>
      </w:r>
      <w:r w:rsidR="00264D3A">
        <w:t xml:space="preserve">see </w:t>
      </w:r>
      <w:r w:rsidR="004A7D77">
        <w:rPr>
          <w:b/>
          <w:bCs/>
        </w:rPr>
        <w:fldChar w:fldCharType="begin"/>
      </w:r>
      <w:r w:rsidR="004A7D77">
        <w:instrText xml:space="preserve"> REF _Ref84382911 \h </w:instrText>
      </w:r>
      <w:r w:rsidR="004A7D77">
        <w:rPr>
          <w:b/>
          <w:bCs/>
        </w:rPr>
      </w:r>
      <w:r w:rsidR="004A7D77">
        <w:rPr>
          <w:b/>
          <w:bCs/>
        </w:rPr>
        <w:fldChar w:fldCharType="separate"/>
      </w:r>
      <w:r w:rsidR="004A7D77">
        <w:t xml:space="preserve">Figure </w:t>
      </w:r>
      <w:r w:rsidR="004A7D77">
        <w:rPr>
          <w:noProof/>
        </w:rPr>
        <w:t>4</w:t>
      </w:r>
      <w:r w:rsidR="004A7D77">
        <w:rPr>
          <w:b/>
          <w:bCs/>
        </w:rPr>
        <w:fldChar w:fldCharType="end"/>
      </w:r>
      <w:r w:rsidR="00264D3A" w:rsidRPr="007336D1">
        <w:t>)</w:t>
      </w:r>
      <w:r w:rsidR="00264D3A" w:rsidRPr="00281B3D">
        <w:t>.</w:t>
      </w:r>
      <w:r>
        <w:t xml:space="preserve"> </w:t>
      </w:r>
    </w:p>
    <w:p w14:paraId="184FFD6D" w14:textId="6D199B83" w:rsidR="00950E29" w:rsidRDefault="00950E29" w:rsidP="00950E29">
      <w:pPr>
        <w:pStyle w:val="Body"/>
      </w:pPr>
      <w:r w:rsidRPr="0A7891FC">
        <w:t xml:space="preserve">If </w:t>
      </w:r>
      <w:r>
        <w:t xml:space="preserve">the </w:t>
      </w:r>
      <w:r w:rsidRPr="0A7891FC">
        <w:t xml:space="preserve">HSR identifies or becomes aware of serious non-compliance and the entity in question poses a significant risk to </w:t>
      </w:r>
      <w:r>
        <w:t xml:space="preserve">the </w:t>
      </w:r>
      <w:r w:rsidRPr="0A7891FC">
        <w:t xml:space="preserve">safety, wellbeing and rights of </w:t>
      </w:r>
      <w:r>
        <w:t>people</w:t>
      </w:r>
      <w:r w:rsidRPr="0A7891FC">
        <w:t xml:space="preserve"> in its care, the HSR may impose appropriate sanctions. For example, the </w:t>
      </w:r>
      <w:r w:rsidRPr="00C3059C">
        <w:rPr>
          <w:i/>
          <w:iCs/>
        </w:rPr>
        <w:t>Supported Residential Services (Private Proprietors) Act 2010</w:t>
      </w:r>
      <w:r>
        <w:t xml:space="preserve"> </w:t>
      </w:r>
      <w:r w:rsidRPr="0A7891FC">
        <w:t>includes a number of</w:t>
      </w:r>
      <w:r w:rsidRPr="1CD2DDF4">
        <w:t xml:space="preserve"> offences </w:t>
      </w:r>
      <w:r>
        <w:t>that</w:t>
      </w:r>
      <w:r w:rsidRPr="1CD2DDF4">
        <w:t xml:space="preserve"> attract prosecution or financial penalties.</w:t>
      </w:r>
    </w:p>
    <w:p w14:paraId="79C4C587" w14:textId="0C40574B" w:rsidR="00260460" w:rsidRDefault="00950E29" w:rsidP="00950E29">
      <w:pPr>
        <w:pStyle w:val="Body"/>
        <w:rPr>
          <w:rFonts w:eastAsia="Calibri"/>
        </w:rPr>
      </w:pPr>
      <w:r w:rsidRPr="1CD2DDF4">
        <w:rPr>
          <w:rFonts w:eastAsia="Calibri"/>
        </w:rPr>
        <w:t>The HSR may also publish and publicise enforcement outcomes that are in the public interest to inform the community of its regulatory actions, increase deterrence and promote compliance.</w:t>
      </w:r>
      <w:bookmarkEnd w:id="22"/>
    </w:p>
    <w:p w14:paraId="7B11450C" w14:textId="7ACBEC1F" w:rsidR="000368C0" w:rsidRDefault="000368C0" w:rsidP="000368C0">
      <w:pPr>
        <w:pStyle w:val="Figurecaption"/>
      </w:pPr>
      <w:bookmarkStart w:id="36" w:name="_Ref84382911"/>
      <w:r>
        <w:t xml:space="preserve">Figure </w:t>
      </w:r>
      <w:fldSimple w:instr=" SEQ Figure \* ARABIC ">
        <w:r w:rsidR="004A7D77">
          <w:rPr>
            <w:noProof/>
          </w:rPr>
          <w:t>4</w:t>
        </w:r>
      </w:fldSimple>
      <w:bookmarkEnd w:id="36"/>
      <w:r>
        <w:t xml:space="preserve">: </w:t>
      </w:r>
      <w:r w:rsidRPr="00D0199E">
        <w:t>Regulatory responses based on duty holder risk and culpability</w:t>
      </w:r>
    </w:p>
    <w:p w14:paraId="7F561C7D" w14:textId="1B6195C4" w:rsidR="00C93CB8" w:rsidRDefault="00A1702C" w:rsidP="00BC7311">
      <w:pPr>
        <w:pStyle w:val="Body"/>
        <w:jc w:val="center"/>
      </w:pPr>
      <w:r>
        <w:rPr>
          <w:noProof/>
        </w:rPr>
        <w:drawing>
          <wp:inline distT="0" distB="0" distL="0" distR="0" wp14:anchorId="34E7B22B" wp14:editId="223B10C0">
            <wp:extent cx="3667225" cy="3813946"/>
            <wp:effectExtent l="0" t="0" r="0" b="0"/>
            <wp:docPr id="43" name="Picture 43" descr="Regulatory response options over increasing severity based on risk and culpability. Same as levels (without the text in parentheses) described under 'Compliance activities emphasis' in Appendix B: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Regulatory response options over increasing severity based on risk and culpability. Same as levels (without the text in parentheses) described under 'Compliance activities emphasis' in Appendix B: Image descriptions"/>
                    <pic:cNvPicPr/>
                  </pic:nvPicPr>
                  <pic:blipFill>
                    <a:blip r:embed="rId34"/>
                    <a:stretch>
                      <a:fillRect/>
                    </a:stretch>
                  </pic:blipFill>
                  <pic:spPr>
                    <a:xfrm>
                      <a:off x="0" y="0"/>
                      <a:ext cx="3685768" cy="3833231"/>
                    </a:xfrm>
                    <a:prstGeom prst="rect">
                      <a:avLst/>
                    </a:prstGeom>
                  </pic:spPr>
                </pic:pic>
              </a:graphicData>
            </a:graphic>
          </wp:inline>
        </w:drawing>
      </w:r>
      <w:bookmarkStart w:id="37" w:name="_Toc74671607"/>
    </w:p>
    <w:p w14:paraId="2E8AF1EB" w14:textId="7DA35DE5" w:rsidR="00950E29" w:rsidRDefault="00950E29">
      <w:pPr>
        <w:pStyle w:val="Heading1"/>
      </w:pPr>
      <w:bookmarkStart w:id="38" w:name="_Toc83824876"/>
      <w:r>
        <w:t>4. Reviews and appeals</w:t>
      </w:r>
      <w:bookmarkEnd w:id="37"/>
      <w:bookmarkEnd w:id="38"/>
    </w:p>
    <w:p w14:paraId="236F7F7E" w14:textId="77777777" w:rsidR="00950E29" w:rsidRDefault="00950E29" w:rsidP="00950E29">
      <w:pPr>
        <w:pStyle w:val="Body"/>
      </w:pPr>
      <w:r>
        <w:t>In some instances, relevant legislation provides for a review of the HSR’s decisions at the Victorian Civil and Administrative Tribunal (VCAT).</w:t>
      </w:r>
    </w:p>
    <w:p w14:paraId="077AC451" w14:textId="2689471D" w:rsidR="00237B31" w:rsidRDefault="00950E29" w:rsidP="00950E29">
      <w:pPr>
        <w:pStyle w:val="Body"/>
      </w:pPr>
      <w:r>
        <w:t xml:space="preserve">HSR does not provide legal advice to duty holders – they </w:t>
      </w:r>
      <w:r w:rsidRPr="00285860">
        <w:t xml:space="preserve">should always seek their own legal advice </w:t>
      </w:r>
      <w:r>
        <w:t>regarding</w:t>
      </w:r>
      <w:r w:rsidRPr="00285860">
        <w:t xml:space="preserve"> their ability to have a decision reviewed or appealed</w:t>
      </w:r>
      <w:r>
        <w:t>.</w:t>
      </w:r>
    </w:p>
    <w:p w14:paraId="7B79F1C2" w14:textId="77777777" w:rsidR="00237B31" w:rsidRDefault="00237B31" w:rsidP="00237B31">
      <w:pPr>
        <w:pStyle w:val="Body"/>
      </w:pPr>
      <w:r>
        <w:br w:type="page"/>
      </w:r>
    </w:p>
    <w:p w14:paraId="613F0F85" w14:textId="0E7AC117" w:rsidR="00950E29" w:rsidRPr="00D54EB3" w:rsidRDefault="00950E29" w:rsidP="00237B31">
      <w:pPr>
        <w:pStyle w:val="Heading1"/>
      </w:pPr>
      <w:bookmarkStart w:id="39" w:name="_Appendix_A:_Regulatory"/>
      <w:bookmarkStart w:id="40" w:name="_Toc496271004"/>
      <w:bookmarkStart w:id="41" w:name="_Toc25649878"/>
      <w:bookmarkStart w:id="42" w:name="_Toc74671608"/>
      <w:bookmarkStart w:id="43" w:name="_Toc83824877"/>
      <w:bookmarkEnd w:id="39"/>
      <w:r>
        <w:lastRenderedPageBreak/>
        <w:t>Appendix A: Regulatory toolkit</w:t>
      </w:r>
      <w:bookmarkEnd w:id="40"/>
      <w:bookmarkEnd w:id="41"/>
      <w:bookmarkEnd w:id="42"/>
      <w:bookmarkEnd w:id="43"/>
    </w:p>
    <w:p w14:paraId="4B43457F" w14:textId="77777777" w:rsidR="00950E29" w:rsidRDefault="00950E29" w:rsidP="00950E29">
      <w:pPr>
        <w:pStyle w:val="Heading2"/>
      </w:pPr>
      <w:bookmarkStart w:id="44" w:name="_Toc74671609"/>
      <w:bookmarkStart w:id="45" w:name="_Toc83824878"/>
      <w:r>
        <w:t>Registration</w:t>
      </w:r>
      <w:bookmarkEnd w:id="44"/>
      <w:bookmarkEnd w:id="45"/>
    </w:p>
    <w:p w14:paraId="6ECDED5B" w14:textId="77777777" w:rsidR="00950E29" w:rsidRPr="00E65811" w:rsidRDefault="00950E29" w:rsidP="00950E29">
      <w:pPr>
        <w:pStyle w:val="Body"/>
      </w:pPr>
      <w:r>
        <w:t xml:space="preserve">The </w:t>
      </w:r>
      <w:r w:rsidRPr="5E5C41FA">
        <w:t xml:space="preserve">HSR assesses and provides registration to </w:t>
      </w:r>
      <w:r>
        <w:t>duty holder</w:t>
      </w:r>
      <w:r w:rsidRPr="5E5C41FA">
        <w:t>s who seek to be registered under our regulatory portfolio (</w:t>
      </w:r>
      <w:r>
        <w:t>except for</w:t>
      </w:r>
      <w:r w:rsidRPr="5E5C41FA">
        <w:t xml:space="preserve"> the </w:t>
      </w:r>
      <w:r w:rsidRPr="001A58F6">
        <w:rPr>
          <w:i/>
          <w:iCs/>
        </w:rPr>
        <w:t>Child Wellbeing and Safety Act 2005</w:t>
      </w:r>
      <w:r w:rsidRPr="5E5C41FA">
        <w:t xml:space="preserve">). </w:t>
      </w:r>
    </w:p>
    <w:p w14:paraId="6D179C30" w14:textId="77777777" w:rsidR="00950E29" w:rsidRPr="00E65811" w:rsidRDefault="00950E29" w:rsidP="00950E29">
      <w:pPr>
        <w:pStyle w:val="Body"/>
        <w:rPr>
          <w:szCs w:val="21"/>
        </w:rPr>
      </w:pPr>
      <w:r w:rsidRPr="00E65811">
        <w:rPr>
          <w:szCs w:val="21"/>
        </w:rPr>
        <w:t>This represents the initial screening point in compliance activities undertaken by HSR</w:t>
      </w:r>
      <w:r>
        <w:rPr>
          <w:szCs w:val="21"/>
        </w:rPr>
        <w:t>.</w:t>
      </w:r>
      <w:r w:rsidRPr="00E65811">
        <w:rPr>
          <w:szCs w:val="21"/>
        </w:rPr>
        <w:t xml:space="preserve"> </w:t>
      </w:r>
      <w:r>
        <w:rPr>
          <w:szCs w:val="21"/>
        </w:rPr>
        <w:t>I</w:t>
      </w:r>
      <w:r w:rsidRPr="00E65811">
        <w:rPr>
          <w:szCs w:val="21"/>
        </w:rPr>
        <w:t>t allows the HSR to prevent unfit entities and individuals from obtaining registration and providing service</w:t>
      </w:r>
      <w:r>
        <w:rPr>
          <w:szCs w:val="21"/>
        </w:rPr>
        <w:t>s</w:t>
      </w:r>
      <w:r w:rsidRPr="00E65811">
        <w:rPr>
          <w:szCs w:val="21"/>
        </w:rPr>
        <w:t xml:space="preserve"> that would place</w:t>
      </w:r>
      <w:r>
        <w:rPr>
          <w:szCs w:val="21"/>
        </w:rPr>
        <w:t xml:space="preserve"> the</w:t>
      </w:r>
      <w:r w:rsidRPr="00E65811">
        <w:rPr>
          <w:szCs w:val="21"/>
        </w:rPr>
        <w:t xml:space="preserve"> public </w:t>
      </w:r>
      <w:r>
        <w:rPr>
          <w:szCs w:val="21"/>
        </w:rPr>
        <w:t>at</w:t>
      </w:r>
      <w:r w:rsidRPr="00E65811">
        <w:rPr>
          <w:szCs w:val="21"/>
        </w:rPr>
        <w:t xml:space="preserve"> risk. It is also possible at this stage for </w:t>
      </w:r>
      <w:r>
        <w:rPr>
          <w:szCs w:val="21"/>
        </w:rPr>
        <w:t xml:space="preserve">the </w:t>
      </w:r>
      <w:r w:rsidRPr="00E65811">
        <w:rPr>
          <w:szCs w:val="21"/>
        </w:rPr>
        <w:t xml:space="preserve">HSR to identify deficiencies in </w:t>
      </w:r>
      <w:r>
        <w:rPr>
          <w:szCs w:val="21"/>
        </w:rPr>
        <w:t>duty holder</w:t>
      </w:r>
      <w:r w:rsidRPr="00E65811">
        <w:rPr>
          <w:szCs w:val="21"/>
        </w:rPr>
        <w:t>’s capacity to provide appropriate service and provide conditional registrations (</w:t>
      </w:r>
      <w:r>
        <w:rPr>
          <w:szCs w:val="21"/>
        </w:rPr>
        <w:t>that is,</w:t>
      </w:r>
      <w:r w:rsidRPr="00E65811">
        <w:rPr>
          <w:szCs w:val="21"/>
        </w:rPr>
        <w:t xml:space="preserve"> a registration granted subject to specific requirements). Some </w:t>
      </w:r>
      <w:r>
        <w:rPr>
          <w:szCs w:val="21"/>
        </w:rPr>
        <w:t>duty holder</w:t>
      </w:r>
      <w:r w:rsidRPr="00E65811">
        <w:rPr>
          <w:szCs w:val="21"/>
        </w:rPr>
        <w:t>s are also required to undergo registration renew</w:t>
      </w:r>
      <w:r>
        <w:rPr>
          <w:szCs w:val="21"/>
        </w:rPr>
        <w:t xml:space="preserve">al; </w:t>
      </w:r>
      <w:r w:rsidRPr="00E65811">
        <w:rPr>
          <w:szCs w:val="21"/>
        </w:rPr>
        <w:t>HSR undertakes screening activities at that stage as well.</w:t>
      </w:r>
    </w:p>
    <w:p w14:paraId="3DCFDF70" w14:textId="77777777" w:rsidR="00950E29" w:rsidRPr="00E65811" w:rsidRDefault="00950E29" w:rsidP="00950E29">
      <w:pPr>
        <w:pStyle w:val="Body"/>
        <w:rPr>
          <w:szCs w:val="21"/>
        </w:rPr>
      </w:pPr>
      <w:r w:rsidRPr="00E65811">
        <w:rPr>
          <w:szCs w:val="21"/>
        </w:rPr>
        <w:t>Examples of screening procedures include:</w:t>
      </w:r>
    </w:p>
    <w:p w14:paraId="6ABBAB38" w14:textId="77777777" w:rsidR="00950E29" w:rsidRPr="001209AA" w:rsidRDefault="00950E29" w:rsidP="00950E29">
      <w:pPr>
        <w:pStyle w:val="Bullet1"/>
      </w:pPr>
      <w:r>
        <w:t>u</w:t>
      </w:r>
      <w:r w:rsidRPr="001209AA">
        <w:t xml:space="preserve">ndertaking </w:t>
      </w:r>
      <w:r>
        <w:t>p</w:t>
      </w:r>
      <w:r w:rsidRPr="001209AA">
        <w:t>olice</w:t>
      </w:r>
      <w:r>
        <w:t xml:space="preserve"> or c</w:t>
      </w:r>
      <w:r w:rsidRPr="001209AA">
        <w:t xml:space="preserve">riminal </w:t>
      </w:r>
      <w:r>
        <w:t>h</w:t>
      </w:r>
      <w:r w:rsidRPr="001209AA">
        <w:t>istory check</w:t>
      </w:r>
      <w:r>
        <w:t>s</w:t>
      </w:r>
      <w:r w:rsidRPr="001209AA">
        <w:t xml:space="preserve"> to ensure that </w:t>
      </w:r>
      <w:r>
        <w:t xml:space="preserve">people with a history of offences against children </w:t>
      </w:r>
      <w:r w:rsidRPr="001209AA">
        <w:t xml:space="preserve">are not </w:t>
      </w:r>
      <w:r>
        <w:t>allowed</w:t>
      </w:r>
      <w:r w:rsidRPr="001209AA">
        <w:t xml:space="preserve"> to work with children</w:t>
      </w:r>
    </w:p>
    <w:p w14:paraId="3CA473E3" w14:textId="77777777" w:rsidR="00950E29" w:rsidRPr="001209AA" w:rsidRDefault="00950E29" w:rsidP="00950E29">
      <w:pPr>
        <w:pStyle w:val="Bullet1"/>
      </w:pPr>
      <w:r>
        <w:t>p</w:t>
      </w:r>
      <w:r w:rsidRPr="001209AA">
        <w:t>rofessional background check</w:t>
      </w:r>
      <w:r>
        <w:t>s</w:t>
      </w:r>
      <w:r w:rsidRPr="001209AA">
        <w:t xml:space="preserve"> to ensure the proprietor</w:t>
      </w:r>
      <w:r>
        <w:t xml:space="preserve"> of a supported residential service</w:t>
      </w:r>
      <w:r w:rsidRPr="001209AA">
        <w:t xml:space="preserve"> has no previous relevant regulatory issues</w:t>
      </w:r>
    </w:p>
    <w:p w14:paraId="0BFE9E90" w14:textId="77777777" w:rsidR="00950E29" w:rsidRDefault="00950E29" w:rsidP="00950E29">
      <w:pPr>
        <w:pStyle w:val="Bullet1"/>
      </w:pPr>
      <w:r>
        <w:t xml:space="preserve">Supported residential services </w:t>
      </w:r>
      <w:r w:rsidRPr="001209AA">
        <w:t>suitability check to ensure that the premises are fit for purpose.</w:t>
      </w:r>
    </w:p>
    <w:p w14:paraId="4215BEA6" w14:textId="77777777" w:rsidR="00950E29" w:rsidRPr="006F15D8" w:rsidRDefault="00950E29" w:rsidP="00950E29">
      <w:pPr>
        <w:pStyle w:val="Heading3"/>
      </w:pPr>
      <w:r w:rsidRPr="006F15D8">
        <w:t>Practical application example</w:t>
      </w:r>
    </w:p>
    <w:p w14:paraId="573FB2F5" w14:textId="77777777" w:rsidR="00950E29" w:rsidRDefault="00950E29" w:rsidP="00950E29">
      <w:pPr>
        <w:pStyle w:val="Body"/>
      </w:pPr>
      <w:r w:rsidRPr="006F15D8">
        <w:t xml:space="preserve">A </w:t>
      </w:r>
      <w:r>
        <w:t>duty holder</w:t>
      </w:r>
      <w:r w:rsidRPr="006F15D8">
        <w:t xml:space="preserve"> applies to obtain registration under a relevant Act.</w:t>
      </w:r>
    </w:p>
    <w:p w14:paraId="41C133E0" w14:textId="77777777" w:rsidR="00950E29" w:rsidRPr="00A73AD9" w:rsidRDefault="00950E29" w:rsidP="00950E29">
      <w:pPr>
        <w:pStyle w:val="Body"/>
      </w:pPr>
      <w:r w:rsidRPr="006F15D8">
        <w:t xml:space="preserve">The HSR undertakes a professional background check to ensure that the </w:t>
      </w:r>
      <w:r>
        <w:t>duty holder</w:t>
      </w:r>
      <w:r w:rsidRPr="006F15D8">
        <w:t xml:space="preserve"> has no previous systematic or serious non-compliance history and is suitable for registration.</w:t>
      </w:r>
    </w:p>
    <w:p w14:paraId="2BEFEE2B" w14:textId="77777777" w:rsidR="00950E29" w:rsidRPr="002908B3" w:rsidRDefault="00950E29" w:rsidP="00950E29">
      <w:pPr>
        <w:pStyle w:val="Heading2"/>
        <w:rPr>
          <w:rFonts w:cs="Arial"/>
        </w:rPr>
      </w:pPr>
      <w:bookmarkStart w:id="46" w:name="_Toc74671610"/>
      <w:bookmarkStart w:id="47" w:name="_Toc83824879"/>
      <w:r w:rsidRPr="002908B3">
        <w:rPr>
          <w:rFonts w:cs="Arial"/>
        </w:rPr>
        <w:t xml:space="preserve">Information gathering and ongoing </w:t>
      </w:r>
      <w:r>
        <w:rPr>
          <w:rFonts w:cs="Arial"/>
        </w:rPr>
        <w:t>c</w:t>
      </w:r>
      <w:r w:rsidRPr="002908B3">
        <w:rPr>
          <w:rFonts w:cs="Arial"/>
        </w:rPr>
        <w:t>ompliance</w:t>
      </w:r>
      <w:r>
        <w:rPr>
          <w:rFonts w:cs="Arial"/>
        </w:rPr>
        <w:t xml:space="preserve"> monitoring</w:t>
      </w:r>
      <w:bookmarkEnd w:id="46"/>
      <w:bookmarkEnd w:id="47"/>
    </w:p>
    <w:p w14:paraId="2E90C0A3" w14:textId="77777777" w:rsidR="00950E29" w:rsidRDefault="00950E29" w:rsidP="00950E29">
      <w:pPr>
        <w:pStyle w:val="Body"/>
      </w:pPr>
      <w:r>
        <w:t xml:space="preserve">The </w:t>
      </w:r>
      <w:r w:rsidRPr="5E115447">
        <w:t xml:space="preserve">HSR gathers information </w:t>
      </w:r>
      <w:r>
        <w:t>from a variety of sources to allow risk-based targeting of resources.</w:t>
      </w:r>
    </w:p>
    <w:p w14:paraId="023AFEF7" w14:textId="77777777" w:rsidR="00950E29" w:rsidRDefault="00950E29" w:rsidP="00950E29">
      <w:pPr>
        <w:pStyle w:val="Body"/>
      </w:pPr>
      <w:r>
        <w:t xml:space="preserve">The information </w:t>
      </w:r>
      <w:r w:rsidRPr="5E115447" w:rsidDel="00A96970">
        <w:t xml:space="preserve">gathered allows </w:t>
      </w:r>
      <w:r>
        <w:t xml:space="preserve">the </w:t>
      </w:r>
      <w:r w:rsidRPr="5E115447" w:rsidDel="00A96970">
        <w:t xml:space="preserve">HSR to </w:t>
      </w:r>
      <w:r w:rsidRPr="5E115447">
        <w:t>detect non-compliance early</w:t>
      </w:r>
      <w:r>
        <w:t>,</w:t>
      </w:r>
      <w:r w:rsidRPr="5E115447">
        <w:t xml:space="preserve"> </w:t>
      </w:r>
      <w:r>
        <w:t>enabling it to</w:t>
      </w:r>
      <w:r w:rsidRPr="5E115447">
        <w:t xml:space="preserve"> </w:t>
      </w:r>
      <w:r>
        <w:t>act to prevent or minimise harm.</w:t>
      </w:r>
    </w:p>
    <w:p w14:paraId="2C5403BA" w14:textId="77777777" w:rsidR="00950E29" w:rsidRPr="002908B3" w:rsidRDefault="00950E29" w:rsidP="00950E29">
      <w:pPr>
        <w:pStyle w:val="Body"/>
      </w:pPr>
      <w:r w:rsidRPr="5E115447">
        <w:t>HSR gathers information through:</w:t>
      </w:r>
    </w:p>
    <w:p w14:paraId="2E1FC0AE" w14:textId="77777777" w:rsidR="00950E29" w:rsidRDefault="00950E29" w:rsidP="00950E29">
      <w:pPr>
        <w:pStyle w:val="Bullet1"/>
      </w:pPr>
      <w:r>
        <w:t>peer regulators</w:t>
      </w:r>
    </w:p>
    <w:p w14:paraId="132F8FFB" w14:textId="77777777" w:rsidR="00950E29" w:rsidRDefault="00950E29" w:rsidP="00950E29">
      <w:pPr>
        <w:pStyle w:val="Bullet1"/>
      </w:pPr>
      <w:r>
        <w:t>government agencies</w:t>
      </w:r>
    </w:p>
    <w:p w14:paraId="22B34F93" w14:textId="77777777" w:rsidR="00950E29" w:rsidRDefault="00950E29" w:rsidP="00950E29">
      <w:pPr>
        <w:pStyle w:val="Bullet1"/>
      </w:pPr>
      <w:r>
        <w:t>community visitor reports</w:t>
      </w:r>
    </w:p>
    <w:p w14:paraId="54008781" w14:textId="77777777" w:rsidR="00950E29" w:rsidRDefault="00950E29" w:rsidP="00950E29">
      <w:pPr>
        <w:pStyle w:val="Bullet1"/>
      </w:pPr>
      <w:r>
        <w:t>notifications from family, carers, members of the public</w:t>
      </w:r>
    </w:p>
    <w:p w14:paraId="335B362F" w14:textId="77777777" w:rsidR="00950E29" w:rsidRDefault="00950E29" w:rsidP="00950E29">
      <w:pPr>
        <w:pStyle w:val="Bullet1"/>
      </w:pPr>
      <w:r>
        <w:t>incident reports</w:t>
      </w:r>
    </w:p>
    <w:p w14:paraId="4D3A6624" w14:textId="77777777" w:rsidR="00950E29" w:rsidRPr="002908B3" w:rsidRDefault="00950E29" w:rsidP="00950E29">
      <w:pPr>
        <w:pStyle w:val="Bullet1"/>
      </w:pPr>
      <w:r w:rsidRPr="002908B3">
        <w:t xml:space="preserve">desktop </w:t>
      </w:r>
      <w:r>
        <w:t>assessments</w:t>
      </w:r>
    </w:p>
    <w:p w14:paraId="546D4E57" w14:textId="77777777" w:rsidR="00950E29" w:rsidRPr="002908B3" w:rsidRDefault="00950E29" w:rsidP="00950E29">
      <w:pPr>
        <w:pStyle w:val="Bullet1"/>
      </w:pPr>
      <w:r w:rsidRPr="002908B3">
        <w:t xml:space="preserve">planned </w:t>
      </w:r>
      <w:r>
        <w:t xml:space="preserve">and responsive </w:t>
      </w:r>
      <w:r w:rsidRPr="002908B3">
        <w:t xml:space="preserve">inspections </w:t>
      </w:r>
    </w:p>
    <w:p w14:paraId="00634297" w14:textId="77777777" w:rsidR="00950E29" w:rsidRDefault="00950E29" w:rsidP="00950E29">
      <w:pPr>
        <w:pStyle w:val="Bullet1"/>
      </w:pPr>
      <w:r w:rsidRPr="002908B3">
        <w:t>investigations</w:t>
      </w:r>
    </w:p>
    <w:p w14:paraId="7AFE4C4E" w14:textId="77777777" w:rsidR="00950E29" w:rsidRDefault="00950E29" w:rsidP="00950E29">
      <w:pPr>
        <w:pStyle w:val="Bullet1"/>
      </w:pPr>
      <w:r w:rsidRPr="5E5C41FA">
        <w:t>use of statutory powers including using authorised officer powers or search warrants.</w:t>
      </w:r>
    </w:p>
    <w:p w14:paraId="792D323D" w14:textId="77777777" w:rsidR="004B1692" w:rsidRDefault="004B1692">
      <w:pPr>
        <w:spacing w:after="0" w:line="240" w:lineRule="auto"/>
        <w:rPr>
          <w:rFonts w:eastAsia="MS Gothic"/>
          <w:bCs/>
          <w:color w:val="201547"/>
          <w:sz w:val="28"/>
          <w:szCs w:val="26"/>
        </w:rPr>
      </w:pPr>
      <w:r>
        <w:br w:type="page"/>
      </w:r>
    </w:p>
    <w:p w14:paraId="08C2480C" w14:textId="7F65A30D" w:rsidR="00950E29" w:rsidRPr="006F15D8" w:rsidRDefault="00950E29" w:rsidP="00950E29">
      <w:pPr>
        <w:pStyle w:val="Heading3"/>
      </w:pPr>
      <w:r w:rsidRPr="006F15D8">
        <w:lastRenderedPageBreak/>
        <w:t>Practical application example</w:t>
      </w:r>
    </w:p>
    <w:p w14:paraId="2052B207" w14:textId="74572459" w:rsidR="00950E29" w:rsidRDefault="00950E29" w:rsidP="00950E29">
      <w:pPr>
        <w:pStyle w:val="Body"/>
      </w:pPr>
      <w:r w:rsidRPr="006F15D8">
        <w:t xml:space="preserve">The HSR undertakes a planned unannounced inspection and identifies non-compliance by </w:t>
      </w:r>
      <w:r w:rsidR="000223EA">
        <w:t xml:space="preserve">the </w:t>
      </w:r>
      <w:r>
        <w:t>duty holder.</w:t>
      </w:r>
    </w:p>
    <w:p w14:paraId="1F847CD4" w14:textId="77777777" w:rsidR="00950E29" w:rsidRDefault="00950E29" w:rsidP="00950E29">
      <w:pPr>
        <w:pStyle w:val="Body"/>
      </w:pPr>
      <w:r>
        <w:t xml:space="preserve">The HSR </w:t>
      </w:r>
      <w:r w:rsidRPr="006F15D8">
        <w:t>takes regulatory action to mitigate the risk.</w:t>
      </w:r>
    </w:p>
    <w:p w14:paraId="38B59307" w14:textId="77777777" w:rsidR="00950E29" w:rsidRPr="006F15D8" w:rsidRDefault="00950E29" w:rsidP="00950E29">
      <w:pPr>
        <w:pStyle w:val="Body"/>
      </w:pPr>
      <w:r>
        <w:t xml:space="preserve">The </w:t>
      </w:r>
      <w:r w:rsidRPr="006F15D8">
        <w:t xml:space="preserve">HSR also </w:t>
      </w:r>
      <w:r>
        <w:t>uses</w:t>
      </w:r>
      <w:r w:rsidRPr="006F15D8">
        <w:t xml:space="preserve"> the information obtained to identify non-compliance trends</w:t>
      </w:r>
      <w:r>
        <w:t>.</w:t>
      </w:r>
      <w:r w:rsidRPr="006F15D8">
        <w:t xml:space="preserve"> </w:t>
      </w:r>
      <w:r>
        <w:t xml:space="preserve">These </w:t>
      </w:r>
      <w:r w:rsidRPr="006F15D8">
        <w:t>will be used in planning subsequent inspections.</w:t>
      </w:r>
    </w:p>
    <w:p w14:paraId="28D64E5C" w14:textId="77777777" w:rsidR="00950E29" w:rsidRPr="002908B3" w:rsidRDefault="00950E29" w:rsidP="00950E29">
      <w:pPr>
        <w:pStyle w:val="Heading2"/>
        <w:rPr>
          <w:rFonts w:cs="Arial"/>
        </w:rPr>
      </w:pPr>
      <w:bookmarkStart w:id="48" w:name="_Toc74671611"/>
      <w:bookmarkStart w:id="49" w:name="_Toc83824880"/>
      <w:r w:rsidRPr="002908B3">
        <w:rPr>
          <w:rFonts w:cs="Arial"/>
        </w:rPr>
        <w:t>Remedial actions</w:t>
      </w:r>
      <w:bookmarkEnd w:id="48"/>
      <w:bookmarkEnd w:id="49"/>
    </w:p>
    <w:p w14:paraId="4088D898" w14:textId="77777777" w:rsidR="00950E29" w:rsidRDefault="00950E29" w:rsidP="00950E29">
      <w:pPr>
        <w:pStyle w:val="Body"/>
      </w:pPr>
      <w:r w:rsidRPr="5E115447">
        <w:t xml:space="preserve">Remedial </w:t>
      </w:r>
      <w:r>
        <w:t>a</w:t>
      </w:r>
      <w:r w:rsidRPr="5E115447">
        <w:t xml:space="preserve">ction aims to fix identified non-compliance to ensure that the problem is rectified and the </w:t>
      </w:r>
      <w:r>
        <w:t>duty holder</w:t>
      </w:r>
      <w:r w:rsidRPr="5E115447">
        <w:t xml:space="preserve"> operates in a compliant manner.</w:t>
      </w:r>
    </w:p>
    <w:p w14:paraId="5CEA0965" w14:textId="77777777" w:rsidR="00950E29" w:rsidRPr="002908B3" w:rsidRDefault="00950E29" w:rsidP="00950E29">
      <w:pPr>
        <w:pStyle w:val="Body"/>
      </w:pPr>
      <w:r>
        <w:t>Minimising harm through stopping non-compliance is the first goal of enforcement.</w:t>
      </w:r>
    </w:p>
    <w:p w14:paraId="19776127" w14:textId="77777777" w:rsidR="00950E29" w:rsidRDefault="00950E29" w:rsidP="00950E29">
      <w:pPr>
        <w:pStyle w:val="Body"/>
      </w:pPr>
      <w:r w:rsidRPr="210995C5">
        <w:t>The HSR has a broad spectrum of remedial actions available</w:t>
      </w:r>
      <w:r>
        <w:t xml:space="preserve"> throughout its regulatory portfolio. These remedial actions range from compliance guidance to enforceable remedial notices or directions that carry a penalty provision for non-compliance.</w:t>
      </w:r>
    </w:p>
    <w:p w14:paraId="13D6D981" w14:textId="77777777" w:rsidR="00950E29" w:rsidRPr="002908B3" w:rsidRDefault="00950E29" w:rsidP="00950E29">
      <w:pPr>
        <w:pStyle w:val="Heading3"/>
      </w:pPr>
      <w:r>
        <w:t>T</w:t>
      </w:r>
      <w:r w:rsidRPr="002908B3">
        <w:t xml:space="preserve">he most commonly used </w:t>
      </w:r>
      <w:r>
        <w:t>remedial actions</w:t>
      </w:r>
    </w:p>
    <w:p w14:paraId="3462F684" w14:textId="77777777" w:rsidR="00950E29" w:rsidRPr="002908B3" w:rsidRDefault="00950E29" w:rsidP="00950E29">
      <w:pPr>
        <w:pStyle w:val="Bullet1"/>
      </w:pPr>
      <w:r w:rsidRPr="00F8685C">
        <w:rPr>
          <w:b/>
          <w:bCs/>
        </w:rPr>
        <w:t>Compliance guidance</w:t>
      </w:r>
      <w:r>
        <w:t>:</w:t>
      </w:r>
      <w:r w:rsidRPr="002908B3">
        <w:t xml:space="preserve"> this is </w:t>
      </w:r>
      <w:r>
        <w:t>information to help a duty holder understand where they may be falling short of their obligations and allow them to rectify the problem. This</w:t>
      </w:r>
      <w:r w:rsidDel="00723E5B">
        <w:t xml:space="preserve"> </w:t>
      </w:r>
      <w:r>
        <w:t xml:space="preserve">may include providing the duty holder with examples of how they may remedy the non-compliance and directing them to relevant education resources. </w:t>
      </w:r>
      <w:r w:rsidRPr="00FE5BAC">
        <w:t>The responsibility for compliance will always rest with the duty holder and the HSR expects those who have a duty or obligation under the law to seek out relevant information and stay up to date with changing industry practices.</w:t>
      </w:r>
    </w:p>
    <w:p w14:paraId="5397F8D3" w14:textId="77777777" w:rsidR="00950E29" w:rsidRPr="002908B3" w:rsidRDefault="00950E29" w:rsidP="00950E29">
      <w:pPr>
        <w:pStyle w:val="Bullet1"/>
      </w:pPr>
      <w:r w:rsidRPr="00F8685C" w:rsidDel="00010D4C">
        <w:rPr>
          <w:b/>
          <w:bCs/>
        </w:rPr>
        <w:t xml:space="preserve">Remedial </w:t>
      </w:r>
      <w:r w:rsidRPr="00F8685C">
        <w:rPr>
          <w:b/>
          <w:bCs/>
        </w:rPr>
        <w:t>notices and directions</w:t>
      </w:r>
      <w:r>
        <w:t>:</w:t>
      </w:r>
      <w:r w:rsidRPr="5E115447">
        <w:t xml:space="preserve"> these are specific directions given by HSR that have to be fulfilled within a specific timeframe. </w:t>
      </w:r>
      <w:r>
        <w:t>Depending on the applicable regulatory regime, i</w:t>
      </w:r>
      <w:r w:rsidRPr="5E115447">
        <w:t xml:space="preserve">f a </w:t>
      </w:r>
      <w:r>
        <w:t>duty holder</w:t>
      </w:r>
      <w:r w:rsidRPr="5E115447">
        <w:t xml:space="preserve"> fails to comply with the</w:t>
      </w:r>
      <w:r>
        <w:t>se</w:t>
      </w:r>
      <w:r w:rsidRPr="5E115447">
        <w:t>, they may face penalties.</w:t>
      </w:r>
    </w:p>
    <w:p w14:paraId="08318C73" w14:textId="77777777" w:rsidR="00950E29" w:rsidRPr="00BB1317" w:rsidRDefault="00950E29" w:rsidP="00950E29">
      <w:pPr>
        <w:pStyle w:val="Bullet1"/>
      </w:pPr>
      <w:r w:rsidRPr="0030679A">
        <w:rPr>
          <w:b/>
          <w:bCs/>
        </w:rPr>
        <w:t xml:space="preserve">Enforceable undertakings under the </w:t>
      </w:r>
      <w:r w:rsidRPr="0059778E">
        <w:rPr>
          <w:b/>
          <w:bCs/>
          <w:i/>
          <w:iCs/>
        </w:rPr>
        <w:t>Supported Residential Services (Private Proprietors) Act 2010</w:t>
      </w:r>
      <w:r w:rsidRPr="0030679A">
        <w:rPr>
          <w:b/>
          <w:bCs/>
        </w:rPr>
        <w:t>:</w:t>
      </w:r>
      <w:r w:rsidRPr="00BB1317">
        <w:t xml:space="preserve"> these are an instrument that records a formal commitment by duty holders to take specific actions within an agreed timeframe. If the duty holder fails to meet these commitments, they may face penalties. </w:t>
      </w:r>
    </w:p>
    <w:p w14:paraId="6FE5CA6D" w14:textId="77777777" w:rsidR="00950E29" w:rsidRDefault="00950E29" w:rsidP="00950E29">
      <w:pPr>
        <w:pStyle w:val="Bullet1"/>
      </w:pPr>
      <w:r w:rsidRPr="00F8685C">
        <w:rPr>
          <w:b/>
          <w:bCs/>
        </w:rPr>
        <w:t>Registration conditions</w:t>
      </w:r>
      <w:r>
        <w:t>:</w:t>
      </w:r>
      <w:r w:rsidRPr="5E115447">
        <w:t xml:space="preserve"> these are specific conditions placed on </w:t>
      </w:r>
      <w:r>
        <w:t>duty holder</w:t>
      </w:r>
      <w:r w:rsidRPr="5E115447">
        <w:t>’s registration to address a longstanding or a complex issue.</w:t>
      </w:r>
    </w:p>
    <w:p w14:paraId="5D93AFB5" w14:textId="77777777" w:rsidR="00950E29" w:rsidRDefault="00950E29" w:rsidP="00950E29">
      <w:pPr>
        <w:pStyle w:val="Heading4"/>
      </w:pPr>
      <w:r w:rsidRPr="006F15D8">
        <w:t>Practical application examples</w:t>
      </w:r>
    </w:p>
    <w:p w14:paraId="05C89331" w14:textId="77777777" w:rsidR="00950E29" w:rsidRPr="00F8685C" w:rsidRDefault="00950E29" w:rsidP="00950E29">
      <w:pPr>
        <w:pStyle w:val="Body"/>
        <w:rPr>
          <w:b/>
          <w:bCs/>
        </w:rPr>
      </w:pPr>
      <w:r>
        <w:rPr>
          <w:b/>
          <w:bCs/>
        </w:rPr>
        <w:t>Example 1:</w:t>
      </w:r>
    </w:p>
    <w:p w14:paraId="7AC36982" w14:textId="77777777" w:rsidR="00950E29" w:rsidRDefault="00950E29" w:rsidP="00950E29">
      <w:pPr>
        <w:pStyle w:val="Bullet1"/>
      </w:pPr>
      <w:r w:rsidRPr="006F15D8">
        <w:t xml:space="preserve">An HSR officer conducting </w:t>
      </w:r>
      <w:r>
        <w:t xml:space="preserve">a </w:t>
      </w:r>
      <w:r w:rsidRPr="006F15D8">
        <w:t xml:space="preserve">compliance assessment identifies minor non-compliance by a </w:t>
      </w:r>
      <w:r>
        <w:t>duty holder.</w:t>
      </w:r>
    </w:p>
    <w:p w14:paraId="35B38E99" w14:textId="77777777" w:rsidR="00950E29" w:rsidRDefault="00950E29" w:rsidP="00950E29">
      <w:pPr>
        <w:pStyle w:val="Bullet1"/>
      </w:pPr>
      <w:r>
        <w:t xml:space="preserve">The officer </w:t>
      </w:r>
      <w:r w:rsidRPr="006F15D8">
        <w:t xml:space="preserve">provides them with compliance guidance outlining the steps </w:t>
      </w:r>
      <w:r>
        <w:t>the</w:t>
      </w:r>
      <w:r w:rsidRPr="006F15D8">
        <w:t xml:space="preserve"> </w:t>
      </w:r>
      <w:r>
        <w:t>duty holder</w:t>
      </w:r>
      <w:r w:rsidRPr="006F15D8">
        <w:t xml:space="preserve"> </w:t>
      </w:r>
      <w:r>
        <w:t>may</w:t>
      </w:r>
      <w:r w:rsidRPr="006F15D8">
        <w:t xml:space="preserve"> take to remediate the risk.</w:t>
      </w:r>
    </w:p>
    <w:p w14:paraId="44724C7D" w14:textId="77777777" w:rsidR="00950E29" w:rsidRPr="00A900EC" w:rsidRDefault="00950E29" w:rsidP="00950E29">
      <w:pPr>
        <w:pStyle w:val="Bodyafterbullets"/>
        <w:rPr>
          <w:b/>
          <w:bCs/>
        </w:rPr>
      </w:pPr>
      <w:r w:rsidRPr="00A900EC">
        <w:rPr>
          <w:b/>
          <w:bCs/>
        </w:rPr>
        <w:t>Example 2:</w:t>
      </w:r>
    </w:p>
    <w:p w14:paraId="6FED2722" w14:textId="77777777" w:rsidR="00950E29" w:rsidRDefault="00950E29" w:rsidP="00950E29">
      <w:pPr>
        <w:pStyle w:val="Bullet1"/>
      </w:pPr>
      <w:r w:rsidRPr="006F15D8">
        <w:t>An HSR officer identifies major non-compliance during an inspection.</w:t>
      </w:r>
    </w:p>
    <w:p w14:paraId="78032761" w14:textId="77777777" w:rsidR="00950E29" w:rsidRPr="006F15D8" w:rsidRDefault="00950E29" w:rsidP="00950E29">
      <w:pPr>
        <w:pStyle w:val="Bullet1"/>
      </w:pPr>
      <w:r w:rsidRPr="006F15D8">
        <w:t xml:space="preserve">The </w:t>
      </w:r>
      <w:r>
        <w:t>duty holder</w:t>
      </w:r>
      <w:r w:rsidRPr="006F15D8">
        <w:t xml:space="preserve"> is subsequently issued with an enforceable </w:t>
      </w:r>
      <w:r>
        <w:t>remedial</w:t>
      </w:r>
      <w:r w:rsidRPr="006F15D8">
        <w:t xml:space="preserve"> notice requiring them to remedy the non-compliance within a specific timeframe.</w:t>
      </w:r>
    </w:p>
    <w:p w14:paraId="2C0AA0F6" w14:textId="77777777" w:rsidR="00950E29" w:rsidRPr="002908B3" w:rsidRDefault="00950E29" w:rsidP="00950E29">
      <w:pPr>
        <w:pStyle w:val="Heading2"/>
        <w:rPr>
          <w:rFonts w:cs="Arial"/>
        </w:rPr>
      </w:pPr>
      <w:bookmarkStart w:id="50" w:name="_Toc74671612"/>
      <w:bookmarkStart w:id="51" w:name="_Toc83824881"/>
      <w:r w:rsidRPr="002908B3">
        <w:rPr>
          <w:rFonts w:cs="Arial"/>
        </w:rPr>
        <w:lastRenderedPageBreak/>
        <w:t>Collaborative peer</w:t>
      </w:r>
      <w:r>
        <w:rPr>
          <w:rFonts w:cs="Arial"/>
        </w:rPr>
        <w:t xml:space="preserve"> </w:t>
      </w:r>
      <w:r w:rsidRPr="002908B3">
        <w:rPr>
          <w:rFonts w:cs="Arial"/>
        </w:rPr>
        <w:t>regulation</w:t>
      </w:r>
      <w:bookmarkEnd w:id="50"/>
      <w:bookmarkEnd w:id="51"/>
    </w:p>
    <w:p w14:paraId="2ECDC66C" w14:textId="77777777" w:rsidR="00950E29" w:rsidRPr="000371AE" w:rsidRDefault="00950E29" w:rsidP="000371AE">
      <w:pPr>
        <w:pStyle w:val="Body"/>
      </w:pPr>
      <w:r w:rsidRPr="000371AE">
        <w:t xml:space="preserve">If appropriate, the HSR shares information with peer regulators, safeguarding bodies and other departmental entities. </w:t>
      </w:r>
    </w:p>
    <w:p w14:paraId="2741FAE6" w14:textId="77777777" w:rsidR="00950E29" w:rsidRPr="000371AE" w:rsidRDefault="00950E29" w:rsidP="000371AE">
      <w:pPr>
        <w:pStyle w:val="Body"/>
      </w:pPr>
      <w:r w:rsidRPr="000371AE">
        <w:t>Departmental areas we work with include:</w:t>
      </w:r>
    </w:p>
    <w:p w14:paraId="2942FEFB" w14:textId="694136F7" w:rsidR="00950E29" w:rsidRDefault="00950E29" w:rsidP="00950E29">
      <w:pPr>
        <w:pStyle w:val="Bullet1"/>
      </w:pPr>
      <w:r w:rsidRPr="00D740C1">
        <w:rPr>
          <w:b/>
          <w:bCs/>
        </w:rPr>
        <w:t xml:space="preserve">Community Services Operations </w:t>
      </w:r>
      <w:r w:rsidR="000371AE" w:rsidRPr="00D740C1">
        <w:rPr>
          <w:b/>
          <w:bCs/>
        </w:rPr>
        <w:t>d</w:t>
      </w:r>
      <w:r w:rsidRPr="00D740C1">
        <w:rPr>
          <w:b/>
          <w:bCs/>
        </w:rPr>
        <w:t>ivision</w:t>
      </w:r>
      <w:r>
        <w:t xml:space="preserve"> – manages service agreements that the department enters into with service providers</w:t>
      </w:r>
      <w:r w:rsidR="000371AE">
        <w:t>.</w:t>
      </w:r>
    </w:p>
    <w:p w14:paraId="0A3CAA38" w14:textId="77777777" w:rsidR="00950E29" w:rsidRDefault="00950E29" w:rsidP="000371AE">
      <w:pPr>
        <w:pStyle w:val="Bodyafterbullets"/>
      </w:pPr>
      <w:r>
        <w:t>External regulators and relevant entities include:</w:t>
      </w:r>
    </w:p>
    <w:p w14:paraId="545AE150" w14:textId="77777777" w:rsidR="00950E29" w:rsidRDefault="00950E29" w:rsidP="00950E29">
      <w:pPr>
        <w:pStyle w:val="Bullet1"/>
      </w:pPr>
      <w:r w:rsidRPr="000371AE">
        <w:rPr>
          <w:b/>
          <w:bCs/>
        </w:rPr>
        <w:t>Victorian Disability Services Commissioner</w:t>
      </w:r>
      <w:r>
        <w:t xml:space="preserve"> – manages complaints about registered disability service providers and investigates critical incidents</w:t>
      </w:r>
    </w:p>
    <w:p w14:paraId="3D829207" w14:textId="77777777" w:rsidR="00950E29" w:rsidRDefault="00950E29" w:rsidP="00950E29">
      <w:pPr>
        <w:pStyle w:val="Bullet1"/>
      </w:pPr>
      <w:r w:rsidRPr="000371AE">
        <w:rPr>
          <w:b/>
          <w:bCs/>
        </w:rPr>
        <w:t>Victorian Disability Worker Commission</w:t>
      </w:r>
      <w:r>
        <w:t xml:space="preserve"> – manages registrations, complaints and investigations related to disability workers</w:t>
      </w:r>
    </w:p>
    <w:p w14:paraId="5528F9D2" w14:textId="77777777" w:rsidR="00950E29" w:rsidRDefault="00950E29" w:rsidP="00950E29">
      <w:pPr>
        <w:pStyle w:val="Bullet1"/>
      </w:pPr>
      <w:r w:rsidRPr="000371AE">
        <w:rPr>
          <w:b/>
          <w:bCs/>
        </w:rPr>
        <w:t>National Disability Insurance Agency</w:t>
      </w:r>
      <w:r>
        <w:t xml:space="preserve"> – manages NDIS provider registrations</w:t>
      </w:r>
    </w:p>
    <w:p w14:paraId="2004E0FB" w14:textId="3C951C82" w:rsidR="00950E29" w:rsidRDefault="00950E29" w:rsidP="00950E29">
      <w:pPr>
        <w:pStyle w:val="Bullet1"/>
      </w:pPr>
      <w:r w:rsidRPr="000371AE">
        <w:rPr>
          <w:b/>
          <w:bCs/>
        </w:rPr>
        <w:t>National Disability Insurance Scheme Quality and Safeguard</w:t>
      </w:r>
      <w:r w:rsidR="008D567A">
        <w:rPr>
          <w:b/>
          <w:bCs/>
        </w:rPr>
        <w:t>s</w:t>
      </w:r>
      <w:r w:rsidRPr="000371AE">
        <w:rPr>
          <w:b/>
          <w:bCs/>
        </w:rPr>
        <w:t xml:space="preserve"> Commission</w:t>
      </w:r>
      <w:r>
        <w:t xml:space="preserve"> – regulates NDIS providers and workers</w:t>
      </w:r>
    </w:p>
    <w:p w14:paraId="7637C20A" w14:textId="09AA800C" w:rsidR="00950E29" w:rsidRDefault="00950E29" w:rsidP="00950E29">
      <w:pPr>
        <w:pStyle w:val="Bullet1"/>
      </w:pPr>
      <w:r w:rsidRPr="000371AE">
        <w:rPr>
          <w:b/>
          <w:bCs/>
        </w:rPr>
        <w:t>Commissioner for Children and Young People</w:t>
      </w:r>
      <w:r>
        <w:t xml:space="preserve"> – regulates Child Safe Standards and </w:t>
      </w:r>
      <w:r w:rsidR="000371AE">
        <w:t xml:space="preserve">the </w:t>
      </w:r>
      <w:r>
        <w:t xml:space="preserve">Reportable Conduct Scheme under the </w:t>
      </w:r>
      <w:r w:rsidRPr="00520529">
        <w:rPr>
          <w:i/>
          <w:iCs/>
        </w:rPr>
        <w:t>Child Wellbeing and Safety Act 2005</w:t>
      </w:r>
    </w:p>
    <w:p w14:paraId="541BF710" w14:textId="77777777" w:rsidR="00950E29" w:rsidRDefault="00950E29" w:rsidP="00950E29">
      <w:pPr>
        <w:pStyle w:val="Bullet1"/>
      </w:pPr>
      <w:r w:rsidRPr="000371AE">
        <w:rPr>
          <w:b/>
          <w:bCs/>
        </w:rPr>
        <w:t>Suitability Panel</w:t>
      </w:r>
      <w:r>
        <w:t xml:space="preserve"> – determines whether out-of-home carers should be disqualified from the Carer’s Register</w:t>
      </w:r>
    </w:p>
    <w:p w14:paraId="4FE1FD59" w14:textId="77777777" w:rsidR="00950E29" w:rsidRDefault="00950E29" w:rsidP="00950E29">
      <w:pPr>
        <w:pStyle w:val="Bullet1"/>
      </w:pPr>
      <w:r w:rsidRPr="000371AE">
        <w:rPr>
          <w:b/>
          <w:bCs/>
        </w:rPr>
        <w:t>Victoria Police</w:t>
      </w:r>
      <w:r>
        <w:t xml:space="preserve"> – investigates criminal offences</w:t>
      </w:r>
    </w:p>
    <w:p w14:paraId="2BC125B0" w14:textId="77777777" w:rsidR="00950E29" w:rsidRDefault="00950E29" w:rsidP="00950E29">
      <w:pPr>
        <w:pStyle w:val="Bullet1"/>
      </w:pPr>
      <w:r w:rsidRPr="000371AE">
        <w:rPr>
          <w:b/>
          <w:bCs/>
        </w:rPr>
        <w:t>Office of the Public Advocate</w:t>
      </w:r>
      <w:r>
        <w:t xml:space="preserve"> – manages the Community Visitor program and guardianship arrangements</w:t>
      </w:r>
    </w:p>
    <w:p w14:paraId="2BCF890F" w14:textId="7E1528FF" w:rsidR="00950E29" w:rsidRDefault="00950E29" w:rsidP="00950E29">
      <w:pPr>
        <w:pStyle w:val="Bullet1"/>
      </w:pPr>
      <w:r w:rsidRPr="000371AE">
        <w:rPr>
          <w:b/>
          <w:bCs/>
        </w:rPr>
        <w:t xml:space="preserve">Independent </w:t>
      </w:r>
      <w:r w:rsidR="00FE5DE5">
        <w:rPr>
          <w:b/>
          <w:bCs/>
        </w:rPr>
        <w:t>r</w:t>
      </w:r>
      <w:r w:rsidRPr="000371AE">
        <w:rPr>
          <w:b/>
          <w:bCs/>
        </w:rPr>
        <w:t xml:space="preserve">eview </w:t>
      </w:r>
      <w:r w:rsidR="00FE5DE5">
        <w:rPr>
          <w:b/>
          <w:bCs/>
        </w:rPr>
        <w:t>b</w:t>
      </w:r>
      <w:r w:rsidRPr="000371AE">
        <w:rPr>
          <w:b/>
          <w:bCs/>
        </w:rPr>
        <w:t>odies</w:t>
      </w:r>
      <w:r>
        <w:t xml:space="preserve"> – accredit and audit regulated entities</w:t>
      </w:r>
    </w:p>
    <w:p w14:paraId="53C9E029" w14:textId="77777777" w:rsidR="00950E29" w:rsidRDefault="00950E29" w:rsidP="00950E29">
      <w:pPr>
        <w:pStyle w:val="Bullet1"/>
      </w:pPr>
      <w:r w:rsidRPr="000371AE">
        <w:rPr>
          <w:b/>
          <w:bCs/>
        </w:rPr>
        <w:t>Housing Registrar</w:t>
      </w:r>
      <w:r>
        <w:t xml:space="preserve"> – regulates registered non-government housing agencies and accommodation providers</w:t>
      </w:r>
    </w:p>
    <w:p w14:paraId="02A96B53" w14:textId="7921BF0C" w:rsidR="00950E29" w:rsidRDefault="000371AE" w:rsidP="00950E29">
      <w:pPr>
        <w:pStyle w:val="Bullet1"/>
      </w:pPr>
      <w:r>
        <w:rPr>
          <w:b/>
          <w:bCs/>
        </w:rPr>
        <w:t>l</w:t>
      </w:r>
      <w:r w:rsidR="00950E29" w:rsidRPr="000371AE">
        <w:rPr>
          <w:b/>
          <w:bCs/>
        </w:rPr>
        <w:t>ocal government</w:t>
      </w:r>
      <w:r w:rsidR="00950E29">
        <w:t xml:space="preserve"> – regulates building and food safety</w:t>
      </w:r>
    </w:p>
    <w:p w14:paraId="38870E3E" w14:textId="1EAB3735" w:rsidR="00950E29" w:rsidRDefault="00950E29" w:rsidP="00950E29">
      <w:pPr>
        <w:pStyle w:val="Bullet1"/>
      </w:pPr>
      <w:r w:rsidRPr="000371AE">
        <w:rPr>
          <w:b/>
          <w:bCs/>
        </w:rPr>
        <w:t>Consumer Affairs Victoria</w:t>
      </w:r>
      <w:r>
        <w:t xml:space="preserve"> – regulates rooming houses</w:t>
      </w:r>
      <w:r w:rsidR="000371AE">
        <w:t>.</w:t>
      </w:r>
    </w:p>
    <w:p w14:paraId="303A381E" w14:textId="77777777" w:rsidR="00950E29" w:rsidRPr="006F15D8" w:rsidRDefault="00950E29" w:rsidP="00950E29">
      <w:pPr>
        <w:pStyle w:val="Heading3"/>
      </w:pPr>
      <w:r w:rsidRPr="006F15D8">
        <w:t>Practical application example</w:t>
      </w:r>
      <w:r>
        <w:t>s</w:t>
      </w:r>
    </w:p>
    <w:p w14:paraId="4487AE57" w14:textId="77777777" w:rsidR="00950E29" w:rsidRPr="00F72C6E" w:rsidRDefault="00950E29" w:rsidP="00950E29">
      <w:pPr>
        <w:pStyle w:val="Body"/>
        <w:rPr>
          <w:b/>
          <w:bCs/>
        </w:rPr>
      </w:pPr>
      <w:r w:rsidRPr="00F72C6E">
        <w:rPr>
          <w:b/>
          <w:bCs/>
        </w:rPr>
        <w:t>Example</w:t>
      </w:r>
      <w:r>
        <w:rPr>
          <w:b/>
          <w:bCs/>
        </w:rPr>
        <w:t xml:space="preserve"> 1</w:t>
      </w:r>
      <w:r w:rsidRPr="00F72C6E">
        <w:rPr>
          <w:b/>
          <w:bCs/>
        </w:rPr>
        <w:t>:</w:t>
      </w:r>
    </w:p>
    <w:p w14:paraId="24381879" w14:textId="543EDB35" w:rsidR="00950E29" w:rsidRDefault="00950E29" w:rsidP="00950E29">
      <w:pPr>
        <w:pStyle w:val="Bullet1"/>
      </w:pPr>
      <w:r>
        <w:t xml:space="preserve">Where a duty holder receives government funding, the </w:t>
      </w:r>
      <w:r w:rsidRPr="5E115447">
        <w:t>HSR</w:t>
      </w:r>
      <w:r>
        <w:t xml:space="preserve"> </w:t>
      </w:r>
      <w:r w:rsidRPr="5E115447">
        <w:t>refer</w:t>
      </w:r>
      <w:r>
        <w:t>s</w:t>
      </w:r>
      <w:r w:rsidRPr="5E115447">
        <w:t xml:space="preserve"> identified issues to </w:t>
      </w:r>
      <w:r>
        <w:t xml:space="preserve">the department’s </w:t>
      </w:r>
      <w:r w:rsidR="007C67D6">
        <w:t>s</w:t>
      </w:r>
      <w:r w:rsidRPr="5E115447">
        <w:t xml:space="preserve">ervice </w:t>
      </w:r>
      <w:r w:rsidR="007C67D6">
        <w:t>a</w:t>
      </w:r>
      <w:r w:rsidRPr="5E115447">
        <w:t xml:space="preserve">greements </w:t>
      </w:r>
      <w:r>
        <w:t>area</w:t>
      </w:r>
    </w:p>
    <w:p w14:paraId="170F9DC5" w14:textId="77777777" w:rsidR="00950E29" w:rsidRPr="004F6671" w:rsidRDefault="00950E29" w:rsidP="00950E29">
      <w:pPr>
        <w:pStyle w:val="Bullet1"/>
        <w:numPr>
          <w:ilvl w:val="0"/>
          <w:numId w:val="0"/>
        </w:numPr>
        <w:rPr>
          <w:b/>
          <w:bCs/>
        </w:rPr>
      </w:pPr>
      <w:r w:rsidRPr="004F6671">
        <w:rPr>
          <w:b/>
          <w:bCs/>
        </w:rPr>
        <w:t>Example 2:</w:t>
      </w:r>
    </w:p>
    <w:p w14:paraId="4D2450CD" w14:textId="77777777" w:rsidR="00950E29" w:rsidRDefault="00950E29" w:rsidP="00950E29">
      <w:pPr>
        <w:pStyle w:val="Bullet1"/>
      </w:pPr>
      <w:r>
        <w:t xml:space="preserve">The </w:t>
      </w:r>
      <w:r w:rsidRPr="00132538">
        <w:t xml:space="preserve">HSR becomes aware </w:t>
      </w:r>
      <w:r>
        <w:t xml:space="preserve">of </w:t>
      </w:r>
      <w:r w:rsidRPr="00132538">
        <w:t xml:space="preserve">an entity potentially operating as an unregistered </w:t>
      </w:r>
      <w:r>
        <w:t xml:space="preserve">supported residential service </w:t>
      </w:r>
      <w:r w:rsidRPr="00132538">
        <w:t>or a rooming house.</w:t>
      </w:r>
    </w:p>
    <w:p w14:paraId="053CB832" w14:textId="6804BB82" w:rsidR="00950E29" w:rsidRPr="00132538" w:rsidRDefault="00950E29" w:rsidP="00950E29">
      <w:pPr>
        <w:pStyle w:val="Bullet1"/>
      </w:pPr>
      <w:r>
        <w:t>T</w:t>
      </w:r>
      <w:r w:rsidRPr="00132538">
        <w:t>o ascertain whether the entity is registered as a rooming house</w:t>
      </w:r>
      <w:r>
        <w:t>,</w:t>
      </w:r>
      <w:r w:rsidRPr="00132538">
        <w:t xml:space="preserve"> the HSR shares available information with </w:t>
      </w:r>
      <w:r w:rsidR="00D17575">
        <w:t>the relevant local council</w:t>
      </w:r>
      <w:r w:rsidRPr="00132538">
        <w:t xml:space="preserve"> to determine the entity’s status</w:t>
      </w:r>
      <w:r>
        <w:t xml:space="preserve"> and establish who is responsible for regulatory oversight of the entity</w:t>
      </w:r>
      <w:r w:rsidRPr="00132538">
        <w:t>.</w:t>
      </w:r>
    </w:p>
    <w:p w14:paraId="057302FA" w14:textId="45329357" w:rsidR="00950E29" w:rsidRPr="002908B3" w:rsidRDefault="00950E29" w:rsidP="00950E29">
      <w:pPr>
        <w:pStyle w:val="Heading2"/>
        <w:rPr>
          <w:rFonts w:cs="Arial"/>
        </w:rPr>
      </w:pPr>
      <w:bookmarkStart w:id="52" w:name="_Toc74671613"/>
      <w:bookmarkStart w:id="53" w:name="_Toc83824882"/>
      <w:r w:rsidRPr="002908B3">
        <w:rPr>
          <w:rFonts w:cs="Arial"/>
        </w:rPr>
        <w:t xml:space="preserve">Imposition of </w:t>
      </w:r>
      <w:r>
        <w:rPr>
          <w:rFonts w:cs="Arial"/>
        </w:rPr>
        <w:t>s</w:t>
      </w:r>
      <w:r w:rsidRPr="002908B3">
        <w:rPr>
          <w:rFonts w:cs="Arial"/>
        </w:rPr>
        <w:t>anctions</w:t>
      </w:r>
      <w:bookmarkEnd w:id="52"/>
      <w:bookmarkEnd w:id="53"/>
    </w:p>
    <w:p w14:paraId="2845D5C3" w14:textId="77777777" w:rsidR="00950E29" w:rsidRDefault="00950E29" w:rsidP="00950E29">
      <w:pPr>
        <w:pStyle w:val="Body"/>
      </w:pPr>
      <w:r>
        <w:t xml:space="preserve">The HSR may impose sanctions to reduce the likelihood of duty holders committing </w:t>
      </w:r>
      <w:r w:rsidRPr="002E67B2">
        <w:t>further compliance</w:t>
      </w:r>
      <w:r>
        <w:t xml:space="preserve"> breaches and to</w:t>
      </w:r>
      <w:r w:rsidRPr="002E67B2">
        <w:t xml:space="preserve"> </w:t>
      </w:r>
      <w:r>
        <w:t>apply a penalty for breaking the law.</w:t>
      </w:r>
    </w:p>
    <w:p w14:paraId="4D98A9C2" w14:textId="7BB821CF" w:rsidR="00950E29" w:rsidRDefault="00950E29" w:rsidP="00950E29">
      <w:pPr>
        <w:pStyle w:val="Body"/>
      </w:pPr>
      <w:r>
        <w:lastRenderedPageBreak/>
        <w:t>This is important to deter duty holders from breaching their compliance obligations, particularly those who seek to evade their obligations or profit from breaking the law.</w:t>
      </w:r>
      <w:r w:rsidR="00AD0F13">
        <w:t xml:space="preserve"> </w:t>
      </w:r>
      <w:r w:rsidR="00410840">
        <w:t xml:space="preserve">It </w:t>
      </w:r>
      <w:r>
        <w:t>also indirectly recognises the efforts of duty holders who do invest in ensuring ongoing compliance.</w:t>
      </w:r>
    </w:p>
    <w:p w14:paraId="74B549BF" w14:textId="77777777" w:rsidR="00950E29" w:rsidRDefault="00950E29" w:rsidP="00950E29">
      <w:pPr>
        <w:pStyle w:val="Body"/>
      </w:pPr>
      <w:r>
        <w:t>The first priority is always to prevent further harm and remedy the problem. This may include operational restrictions to mitigate a significant risk. However, where the duty holder is not compliant with the remedy or their actions pose significant risk, sanctions may be imposed.</w:t>
      </w:r>
    </w:p>
    <w:p w14:paraId="69DB0F28" w14:textId="77777777" w:rsidR="00950E29" w:rsidRPr="002908B3" w:rsidRDefault="00950E29" w:rsidP="00950E29">
      <w:pPr>
        <w:pStyle w:val="Body"/>
      </w:pPr>
      <w:r w:rsidRPr="002908B3">
        <w:t>In cases of severe non-compliance</w:t>
      </w:r>
      <w:r>
        <w:t>,</w:t>
      </w:r>
      <w:r w:rsidRPr="002908B3">
        <w:t xml:space="preserve"> sanctions may </w:t>
      </w:r>
      <w:r>
        <w:t>involve</w:t>
      </w:r>
      <w:r w:rsidRPr="002908B3">
        <w:t xml:space="preserve"> revo</w:t>
      </w:r>
      <w:r>
        <w:t>king registration</w:t>
      </w:r>
      <w:r w:rsidRPr="002908B3">
        <w:t xml:space="preserve"> or prosecut</w:t>
      </w:r>
      <w:r>
        <w:t>ing</w:t>
      </w:r>
      <w:r w:rsidRPr="002908B3">
        <w:t xml:space="preserve"> the </w:t>
      </w:r>
      <w:r>
        <w:t>duty holder (where applicable)</w:t>
      </w:r>
      <w:r w:rsidRPr="002908B3">
        <w:t>.</w:t>
      </w:r>
    </w:p>
    <w:p w14:paraId="13E16B98" w14:textId="77777777" w:rsidR="00950E29" w:rsidRPr="002908B3" w:rsidRDefault="00950E29" w:rsidP="00950E29">
      <w:pPr>
        <w:pStyle w:val="Body"/>
      </w:pPr>
      <w:r>
        <w:t>Depending on the applicable legislation, e</w:t>
      </w:r>
      <w:r w:rsidRPr="002908B3">
        <w:t>xamples of sanctions include:</w:t>
      </w:r>
    </w:p>
    <w:p w14:paraId="49E95593" w14:textId="77777777" w:rsidR="00950E29" w:rsidRDefault="00950E29" w:rsidP="00950E29">
      <w:pPr>
        <w:pStyle w:val="Bullet1"/>
      </w:pPr>
      <w:r>
        <w:t>official warnings</w:t>
      </w:r>
    </w:p>
    <w:p w14:paraId="1784BA74" w14:textId="77777777" w:rsidR="00950E29" w:rsidRPr="002908B3" w:rsidRDefault="00950E29" w:rsidP="00950E29">
      <w:pPr>
        <w:pStyle w:val="Bullet1"/>
      </w:pPr>
      <w:r w:rsidRPr="002908B3">
        <w:t>limitations and restrictions – such as limitation of admission rights</w:t>
      </w:r>
    </w:p>
    <w:p w14:paraId="59F1A3A5" w14:textId="77777777" w:rsidR="00950E29" w:rsidRPr="002908B3" w:rsidRDefault="00950E29" w:rsidP="00950E29">
      <w:pPr>
        <w:pStyle w:val="Bullet1"/>
      </w:pPr>
      <w:r w:rsidRPr="002908B3">
        <w:t>infringement notices and penalties – penalties for failure to comply with a remedial notice or a statutory provision that may be the subject of an infringement notice</w:t>
      </w:r>
    </w:p>
    <w:p w14:paraId="261FD0ED" w14:textId="77777777" w:rsidR="00950E29" w:rsidRPr="002908B3" w:rsidRDefault="00950E29" w:rsidP="00950E29">
      <w:pPr>
        <w:pStyle w:val="Bullet1"/>
      </w:pPr>
      <w:r w:rsidRPr="5E115447">
        <w:t xml:space="preserve">temporary suspension – where significant risks are identified and the </w:t>
      </w:r>
      <w:r>
        <w:t>duty holder</w:t>
      </w:r>
      <w:r w:rsidRPr="5E115447">
        <w:t xml:space="preserve"> </w:t>
      </w:r>
      <w:r>
        <w:t>must</w:t>
      </w:r>
      <w:r w:rsidRPr="5E115447">
        <w:t xml:space="preserve"> rectify these before providing service again</w:t>
      </w:r>
    </w:p>
    <w:p w14:paraId="2D9EE1BA" w14:textId="0F3ED42F" w:rsidR="00950E29" w:rsidRPr="002908B3" w:rsidRDefault="00950E29" w:rsidP="00950E29">
      <w:pPr>
        <w:pStyle w:val="Bullet1"/>
      </w:pPr>
      <w:r w:rsidRPr="002908B3">
        <w:t xml:space="preserve">revocation of </w:t>
      </w:r>
      <w:r>
        <w:t>duty holder’</w:t>
      </w:r>
      <w:r w:rsidRPr="002908B3">
        <w:t>s registration due to severe risks and inability to rectify them</w:t>
      </w:r>
      <w:r>
        <w:t>.</w:t>
      </w:r>
    </w:p>
    <w:p w14:paraId="434656F1" w14:textId="77777777" w:rsidR="00950E29" w:rsidRPr="002908B3" w:rsidRDefault="00950E29" w:rsidP="00950E29">
      <w:pPr>
        <w:pStyle w:val="Bodyafterbullets"/>
      </w:pPr>
      <w:r>
        <w:t xml:space="preserve">Under the </w:t>
      </w:r>
      <w:r w:rsidRPr="007C66FF">
        <w:rPr>
          <w:i/>
          <w:iCs/>
        </w:rPr>
        <w:t>Supported Residential Services (Private Proprietors) Act 2010</w:t>
      </w:r>
      <w:r>
        <w:t>, i</w:t>
      </w:r>
      <w:r w:rsidRPr="0097309E">
        <w:t xml:space="preserve">n the </w:t>
      </w:r>
      <w:r w:rsidRPr="008D2606">
        <w:t>case of severe or repeated risks or non-compliance</w:t>
      </w:r>
      <w:r>
        <w:t xml:space="preserve">, the HSR may decide to prosecute the duty holder. </w:t>
      </w:r>
      <w:r w:rsidRPr="5E115447">
        <w:t xml:space="preserve">Circumstances </w:t>
      </w:r>
      <w:r>
        <w:t>where the</w:t>
      </w:r>
      <w:r w:rsidRPr="5E115447">
        <w:t xml:space="preserve"> HSR may decide to prosecute the duty</w:t>
      </w:r>
      <w:r>
        <w:t>-</w:t>
      </w:r>
      <w:r w:rsidRPr="5E115447">
        <w:t>holder include</w:t>
      </w:r>
      <w:r>
        <w:t xml:space="preserve"> (</w:t>
      </w:r>
      <w:r w:rsidRPr="5E115447">
        <w:t>but are not limited to</w:t>
      </w:r>
      <w:r>
        <w:t>)</w:t>
      </w:r>
      <w:r w:rsidRPr="5E115447">
        <w:t>:</w:t>
      </w:r>
    </w:p>
    <w:p w14:paraId="7C822221" w14:textId="77777777" w:rsidR="00950E29" w:rsidRPr="002908B3" w:rsidRDefault="00950E29" w:rsidP="00950E29">
      <w:pPr>
        <w:pStyle w:val="Bullet1"/>
      </w:pPr>
      <w:r w:rsidRPr="002908B3">
        <w:t>significant ongoing safety and wellbeing concerns</w:t>
      </w:r>
    </w:p>
    <w:p w14:paraId="2764503D" w14:textId="77777777" w:rsidR="00950E29" w:rsidRPr="002908B3" w:rsidRDefault="00950E29" w:rsidP="00950E29">
      <w:pPr>
        <w:pStyle w:val="Bullet1"/>
      </w:pPr>
      <w:r w:rsidRPr="5E115447">
        <w:t>significant impact of non-compliance</w:t>
      </w:r>
    </w:p>
    <w:p w14:paraId="4E66FE90" w14:textId="2800F1FC" w:rsidR="00950E29" w:rsidRPr="002908B3" w:rsidRDefault="00950E29" w:rsidP="00950E29">
      <w:pPr>
        <w:pStyle w:val="Bullet1"/>
      </w:pPr>
      <w:r w:rsidRPr="5E115447">
        <w:t xml:space="preserve">actions and non-compliance to a degree that is incompatible with the </w:t>
      </w:r>
      <w:r>
        <w:t>duty holder</w:t>
      </w:r>
      <w:r w:rsidRPr="5E115447">
        <w:t xml:space="preserve"> being a </w:t>
      </w:r>
      <w:r w:rsidR="00862BA5">
        <w:t>suitable</w:t>
      </w:r>
      <w:r w:rsidRPr="5E115447">
        <w:t xml:space="preserve"> person to provide services</w:t>
      </w:r>
    </w:p>
    <w:p w14:paraId="6040C250" w14:textId="77777777" w:rsidR="00950E29" w:rsidRPr="002908B3" w:rsidRDefault="00950E29" w:rsidP="00950E29">
      <w:pPr>
        <w:pStyle w:val="Bullet1"/>
      </w:pPr>
      <w:r w:rsidRPr="002908B3">
        <w:t>non-compliance that significantly undermines public confidence.</w:t>
      </w:r>
    </w:p>
    <w:p w14:paraId="2F6B5566" w14:textId="536F556E" w:rsidR="00950E29" w:rsidRDefault="00950E29" w:rsidP="00950E29">
      <w:pPr>
        <w:pStyle w:val="Bodyafterbullets"/>
      </w:pPr>
      <w:r w:rsidRPr="54D44931">
        <w:t xml:space="preserve">Where available, </w:t>
      </w:r>
      <w:r>
        <w:t xml:space="preserve">the </w:t>
      </w:r>
      <w:r w:rsidRPr="54D44931">
        <w:t xml:space="preserve">HSR can seek the same financial penalty with civil action as </w:t>
      </w:r>
      <w:r w:rsidR="000371AE">
        <w:t>it</w:t>
      </w:r>
      <w:r w:rsidRPr="54D44931">
        <w:t xml:space="preserve"> could with criminal prosecution. </w:t>
      </w:r>
      <w:r>
        <w:t>The HSR</w:t>
      </w:r>
      <w:r w:rsidRPr="54D44931">
        <w:t xml:space="preserve"> will use criminal jurisdiction when it is considered the most effective option, including whether a conviction, fine or imprisonment (where available) is appropriate.</w:t>
      </w:r>
    </w:p>
    <w:p w14:paraId="43B7F7D5" w14:textId="25B2AF39" w:rsidR="00950E29" w:rsidRPr="006F15D8" w:rsidRDefault="00950E29" w:rsidP="00950E29">
      <w:pPr>
        <w:pStyle w:val="Heading3"/>
      </w:pPr>
      <w:r w:rsidRPr="006F15D8">
        <w:t>Practical application examples</w:t>
      </w:r>
    </w:p>
    <w:p w14:paraId="03AB6EB0" w14:textId="77777777" w:rsidR="00950E29" w:rsidRDefault="00950E29" w:rsidP="00950E29">
      <w:pPr>
        <w:pStyle w:val="Body"/>
        <w:rPr>
          <w:b/>
          <w:bCs/>
        </w:rPr>
      </w:pPr>
      <w:r>
        <w:rPr>
          <w:b/>
          <w:bCs/>
        </w:rPr>
        <w:t>Example 1:</w:t>
      </w:r>
    </w:p>
    <w:p w14:paraId="62C21447" w14:textId="77777777" w:rsidR="00950E29" w:rsidRDefault="00950E29" w:rsidP="00950E29">
      <w:pPr>
        <w:pStyle w:val="Bullet1"/>
      </w:pPr>
      <w:r w:rsidRPr="0005681A">
        <w:t xml:space="preserve">In the case of a proprietor of a supported residential service, a </w:t>
      </w:r>
      <w:r>
        <w:t>duty holder</w:t>
      </w:r>
      <w:r w:rsidRPr="0005681A">
        <w:t xml:space="preserve"> has been issued with a compliance notice</w:t>
      </w:r>
      <w:r>
        <w:t>.</w:t>
      </w:r>
    </w:p>
    <w:p w14:paraId="4A90C66D" w14:textId="6F2621EF" w:rsidR="00950E29" w:rsidRDefault="00950E29" w:rsidP="00950E29">
      <w:pPr>
        <w:pStyle w:val="Bullet1"/>
      </w:pPr>
      <w:r>
        <w:t>The duty holder</w:t>
      </w:r>
      <w:r w:rsidRPr="0005681A">
        <w:t xml:space="preserve"> fails to have the notice displayed in a conspicuous place on the premises as required by section 163 of the </w:t>
      </w:r>
      <w:r w:rsidRPr="0019131E">
        <w:rPr>
          <w:i/>
          <w:iCs/>
        </w:rPr>
        <w:t>Supported Residential Services (Private Proprietors) Act 2010</w:t>
      </w:r>
      <w:r w:rsidRPr="0005681A">
        <w:t>.</w:t>
      </w:r>
    </w:p>
    <w:p w14:paraId="2F192D3F" w14:textId="77777777" w:rsidR="00950E29" w:rsidRPr="006C50B2" w:rsidRDefault="00950E29" w:rsidP="00950E29">
      <w:pPr>
        <w:pStyle w:val="Bullet1"/>
      </w:pPr>
      <w:r w:rsidRPr="0005681A">
        <w:t>As a result, HSR issues an infringement notice.</w:t>
      </w:r>
    </w:p>
    <w:p w14:paraId="73E9A812" w14:textId="77777777" w:rsidR="00950E29" w:rsidRDefault="00950E29" w:rsidP="00950E29">
      <w:pPr>
        <w:pStyle w:val="Bodyafterbullets"/>
        <w:rPr>
          <w:b/>
          <w:bCs/>
        </w:rPr>
      </w:pPr>
      <w:r>
        <w:rPr>
          <w:b/>
          <w:bCs/>
        </w:rPr>
        <w:t>Example 2:</w:t>
      </w:r>
    </w:p>
    <w:p w14:paraId="65E1A0BD" w14:textId="77777777" w:rsidR="00950E29" w:rsidRDefault="00950E29" w:rsidP="00950E29">
      <w:pPr>
        <w:pStyle w:val="Bullet1"/>
      </w:pPr>
      <w:r w:rsidRPr="0005681A">
        <w:t xml:space="preserve">A </w:t>
      </w:r>
      <w:r>
        <w:t>duty holder</w:t>
      </w:r>
      <w:r w:rsidRPr="0005681A">
        <w:t xml:space="preserve"> engages in repeated non-compliance that present a severe risk of harm.</w:t>
      </w:r>
    </w:p>
    <w:p w14:paraId="1BE06993" w14:textId="442B3F27" w:rsidR="00950E29" w:rsidRDefault="00950E29" w:rsidP="00950E29">
      <w:pPr>
        <w:pStyle w:val="Bullet1"/>
      </w:pPr>
      <w:r w:rsidRPr="0005681A">
        <w:t>In doing so</w:t>
      </w:r>
      <w:r>
        <w:t>,</w:t>
      </w:r>
      <w:r w:rsidRPr="0005681A">
        <w:t xml:space="preserve"> the </w:t>
      </w:r>
      <w:r>
        <w:t>duty holder</w:t>
      </w:r>
      <w:r w:rsidRPr="0005681A">
        <w:t xml:space="preserve"> also fails to cooperate with </w:t>
      </w:r>
      <w:r>
        <w:t xml:space="preserve">the </w:t>
      </w:r>
      <w:r w:rsidRPr="0005681A">
        <w:t>HSR and follow previous remedial notices.</w:t>
      </w:r>
    </w:p>
    <w:p w14:paraId="56D509EB" w14:textId="3F2F7264" w:rsidR="000B4C52" w:rsidRDefault="00950E29" w:rsidP="00950E29">
      <w:pPr>
        <w:pStyle w:val="Bullet1"/>
      </w:pPr>
      <w:r w:rsidRPr="006C50B2">
        <w:t xml:space="preserve">Due to the </w:t>
      </w:r>
      <w:r>
        <w:t>duty holder</w:t>
      </w:r>
      <w:r w:rsidRPr="006C50B2">
        <w:t xml:space="preserve">’s record and the severity of the identified risks, </w:t>
      </w:r>
      <w:r>
        <w:t xml:space="preserve">the </w:t>
      </w:r>
      <w:r w:rsidRPr="006C50B2">
        <w:t xml:space="preserve">HSR revokes the </w:t>
      </w:r>
      <w:r>
        <w:t>duty holder</w:t>
      </w:r>
      <w:r w:rsidRPr="006C50B2">
        <w:t>’s registration.</w:t>
      </w:r>
    </w:p>
    <w:p w14:paraId="1A4429C4" w14:textId="77777777" w:rsidR="000B4C52" w:rsidRDefault="000B4C52">
      <w:pPr>
        <w:spacing w:after="0" w:line="240" w:lineRule="auto"/>
        <w:rPr>
          <w:rFonts w:eastAsia="Times"/>
        </w:rPr>
      </w:pPr>
      <w:r>
        <w:br w:type="page"/>
      </w:r>
    </w:p>
    <w:p w14:paraId="45253357" w14:textId="318B9D6A" w:rsidR="00FB1F6E" w:rsidRDefault="000B4C52" w:rsidP="000B4C52">
      <w:pPr>
        <w:pStyle w:val="Heading1"/>
      </w:pPr>
      <w:bookmarkStart w:id="54" w:name="_Toc83824883"/>
      <w:r>
        <w:lastRenderedPageBreak/>
        <w:t xml:space="preserve">Appendix </w:t>
      </w:r>
      <w:r w:rsidR="006E28C4">
        <w:t>B</w:t>
      </w:r>
      <w:r>
        <w:t>: Image descriptions</w:t>
      </w:r>
      <w:bookmarkEnd w:id="54"/>
    </w:p>
    <w:p w14:paraId="4D2DD71A" w14:textId="7E0A5941" w:rsidR="003918D7" w:rsidRDefault="003918D7" w:rsidP="003918D7">
      <w:pPr>
        <w:pStyle w:val="Heading2"/>
      </w:pPr>
      <w:bookmarkStart w:id="55" w:name="_Toc83824884"/>
      <w:r>
        <w:t>Compliance activities emphasis</w:t>
      </w:r>
      <w:bookmarkEnd w:id="55"/>
    </w:p>
    <w:p w14:paraId="7C0EC46A" w14:textId="28BA4547" w:rsidR="003918D7" w:rsidRDefault="003918D7" w:rsidP="003918D7">
      <w:pPr>
        <w:pStyle w:val="Body"/>
      </w:pPr>
      <w:r>
        <w:t>Pyramid of compliance activities with most severe</w:t>
      </w:r>
      <w:r w:rsidR="00BC7311">
        <w:t xml:space="preserve"> and less frequently used</w:t>
      </w:r>
      <w:r>
        <w:t xml:space="preserve"> (level 1) at the top and least severe </w:t>
      </w:r>
      <w:r w:rsidR="00BC7311">
        <w:t xml:space="preserve">and most used </w:t>
      </w:r>
      <w:r>
        <w:t xml:space="preserve">(level 5) at the </w:t>
      </w:r>
      <w:r w:rsidR="00BC7311">
        <w:t>base</w:t>
      </w:r>
      <w:r>
        <w:t>.</w:t>
      </w:r>
    </w:p>
    <w:p w14:paraId="563D4D93" w14:textId="0BB03A24" w:rsidR="003918D7" w:rsidRDefault="003918D7">
      <w:pPr>
        <w:pStyle w:val="Bullet1"/>
      </w:pPr>
      <w:r>
        <w:t>Level 1: Sanctions to the full force of the law (prosecutions and revocations)</w:t>
      </w:r>
    </w:p>
    <w:p w14:paraId="08D5D24D" w14:textId="22E9E635" w:rsidR="003918D7" w:rsidRDefault="003918D7">
      <w:pPr>
        <w:pStyle w:val="Bullet1"/>
      </w:pPr>
      <w:r>
        <w:t>Level 2: Enforcement through remedial action and sanctions (remedial notices, registration restrictions and imposition of sanctions)</w:t>
      </w:r>
    </w:p>
    <w:p w14:paraId="0DF19BE8" w14:textId="7883CB11" w:rsidR="003918D7" w:rsidRDefault="003918D7">
      <w:pPr>
        <w:pStyle w:val="Bullet1"/>
      </w:pPr>
      <w:r>
        <w:t>Level 3: Compliance through remedial action (remedial letters, undertakings, registration conditions and remedial notices)</w:t>
      </w:r>
    </w:p>
    <w:p w14:paraId="08F6D526" w14:textId="61ADCCB1" w:rsidR="003918D7" w:rsidRDefault="003918D7">
      <w:pPr>
        <w:pStyle w:val="Bullet1"/>
      </w:pPr>
      <w:r>
        <w:t>Level 4: Proactive monitoring and remedial action (inspections, investigations, remedial letters and referrals to peer regulators)</w:t>
      </w:r>
    </w:p>
    <w:p w14:paraId="6C671876" w14:textId="3CEDEF7E" w:rsidR="003918D7" w:rsidRDefault="003918D7" w:rsidP="00896171">
      <w:pPr>
        <w:pStyle w:val="Bullet1"/>
      </w:pPr>
      <w:r>
        <w:t>Level 5: Compliance guidance (compliance guidance, direction to education resources, advice during registration)</w:t>
      </w:r>
    </w:p>
    <w:p w14:paraId="6E0F02A1" w14:textId="6ABEA2BA" w:rsidR="003918D7" w:rsidRDefault="00000000" w:rsidP="003918D7">
      <w:pPr>
        <w:pStyle w:val="Body"/>
      </w:pPr>
      <w:hyperlink w:anchor="_2._Our_regulatory" w:history="1">
        <w:r w:rsidR="003918D7" w:rsidRPr="00197372">
          <w:rPr>
            <w:rStyle w:val="Hyperlink"/>
          </w:rPr>
          <w:t>Return to</w:t>
        </w:r>
        <w:r w:rsidR="00197372" w:rsidRPr="00197372">
          <w:rPr>
            <w:rStyle w:val="Hyperlink"/>
          </w:rPr>
          <w:t xml:space="preserve"> </w:t>
        </w:r>
        <w:r w:rsidR="00197372" w:rsidRPr="00896171">
          <w:rPr>
            <w:rStyle w:val="Hyperlink"/>
            <w:b/>
            <w:bCs/>
          </w:rPr>
          <w:t>Our regulatory toolkit</w:t>
        </w:r>
      </w:hyperlink>
      <w:r w:rsidR="00197372">
        <w:t>.</w:t>
      </w:r>
    </w:p>
    <w:p w14:paraId="7B8C7329" w14:textId="15DB91E8" w:rsidR="000B4C52" w:rsidRDefault="000B4C52">
      <w:pPr>
        <w:pStyle w:val="Heading2"/>
      </w:pPr>
      <w:bookmarkStart w:id="56" w:name="_Toc83824885"/>
      <w:r>
        <w:t xml:space="preserve">Risk </w:t>
      </w:r>
      <w:r w:rsidR="003918D7">
        <w:t xml:space="preserve">analysis </w:t>
      </w:r>
      <w:r>
        <w:t>matrix</w:t>
      </w:r>
      <w:bookmarkEnd w:id="56"/>
    </w:p>
    <w:p w14:paraId="23793997" w14:textId="1732E359" w:rsidR="00BC7311" w:rsidRDefault="00BC7311" w:rsidP="00BC7311">
      <w:pPr>
        <w:pStyle w:val="Body"/>
      </w:pPr>
      <w:r>
        <w:t>The following table outlines the overall risk rating</w:t>
      </w:r>
      <w:r w:rsidR="0037030D">
        <w:t xml:space="preserve"> based on the assessment of consequence and likelihood, as shown in </w:t>
      </w:r>
      <w:r w:rsidR="004A7D77">
        <w:fldChar w:fldCharType="begin"/>
      </w:r>
      <w:r w:rsidR="004A7D77">
        <w:instrText xml:space="preserve"> REF _Ref84383104 \h </w:instrText>
      </w:r>
      <w:r w:rsidR="004A7D77">
        <w:fldChar w:fldCharType="separate"/>
      </w:r>
      <w:r w:rsidR="004A7D77">
        <w:t xml:space="preserve">Figure </w:t>
      </w:r>
      <w:r w:rsidR="004A7D77">
        <w:rPr>
          <w:noProof/>
        </w:rPr>
        <w:t>3</w:t>
      </w:r>
      <w:r w:rsidR="004A7D77">
        <w:t>: Risk analysis matrix</w:t>
      </w:r>
      <w:r w:rsidR="004A7D77">
        <w:fldChar w:fldCharType="end"/>
      </w:r>
      <w:r w:rsidR="0037030D">
        <w:t>.</w:t>
      </w:r>
    </w:p>
    <w:p w14:paraId="22C7082E" w14:textId="5F136D40" w:rsidR="0037030D" w:rsidRPr="00BC7311" w:rsidRDefault="0037030D" w:rsidP="00BC7311">
      <w:pPr>
        <w:pStyle w:val="Body"/>
      </w:pPr>
      <w:r>
        <w:t>As overall risk increases, the HSR is more likely to use increasingly severe compliance activities (from guidance through to sanctions).</w:t>
      </w:r>
    </w:p>
    <w:p w14:paraId="075C3DD5" w14:textId="26E271CB" w:rsidR="003918D7" w:rsidRPr="004033E2" w:rsidRDefault="003918D7" w:rsidP="00896171">
      <w:pPr>
        <w:pStyle w:val="Tablecaption"/>
      </w:pPr>
      <w:r>
        <w:t xml:space="preserve">Table </w:t>
      </w:r>
      <w:fldSimple w:instr=" SEQ Table \* ARABIC ">
        <w:r w:rsidR="00BC7311">
          <w:rPr>
            <w:noProof/>
          </w:rPr>
          <w:t>8</w:t>
        </w:r>
      </w:fldSimple>
      <w:r>
        <w:t xml:space="preserve">: </w:t>
      </w:r>
      <w:r w:rsidR="001424D1">
        <w:t>C</w:t>
      </w:r>
      <w:r>
        <w:t>onsequence</w:t>
      </w:r>
      <w:r w:rsidR="001424D1">
        <w:t>,</w:t>
      </w:r>
      <w:r>
        <w:t xml:space="preserve"> likelihood </w:t>
      </w:r>
      <w:r w:rsidR="001424D1">
        <w:t xml:space="preserve">and overall </w:t>
      </w:r>
      <w:r>
        <w:t>risk</w:t>
      </w:r>
    </w:p>
    <w:tbl>
      <w:tblPr>
        <w:tblStyle w:val="TableGrid"/>
        <w:tblW w:w="9356"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1644"/>
        <w:gridCol w:w="1928"/>
        <w:gridCol w:w="1928"/>
        <w:gridCol w:w="1928"/>
        <w:gridCol w:w="1928"/>
      </w:tblGrid>
      <w:tr w:rsidR="000B4C52" w14:paraId="29D3AF7B" w14:textId="77777777" w:rsidTr="00896171">
        <w:trPr>
          <w:tblHeader/>
        </w:trPr>
        <w:tc>
          <w:tcPr>
            <w:tcW w:w="1644" w:type="dxa"/>
            <w:shd w:val="clear" w:color="auto" w:fill="201547"/>
          </w:tcPr>
          <w:p w14:paraId="74880FAC" w14:textId="3A5E2C9F" w:rsidR="000B4C52" w:rsidRDefault="000B4C52" w:rsidP="00896171">
            <w:pPr>
              <w:pStyle w:val="Tablecolhead"/>
            </w:pPr>
            <w:r>
              <w:t>Consequence</w:t>
            </w:r>
          </w:p>
        </w:tc>
        <w:tc>
          <w:tcPr>
            <w:tcW w:w="1928" w:type="dxa"/>
            <w:shd w:val="clear" w:color="auto" w:fill="201547"/>
          </w:tcPr>
          <w:p w14:paraId="22CE2B74" w14:textId="2660C3E8" w:rsidR="000B4C52" w:rsidRDefault="004A7D77" w:rsidP="00896171">
            <w:pPr>
              <w:pStyle w:val="Tablecolhead"/>
              <w:jc w:val="center"/>
            </w:pPr>
            <w:r>
              <w:t xml:space="preserve">Likelihood: </w:t>
            </w:r>
            <w:r w:rsidR="000B4C52">
              <w:t>Unlikely</w:t>
            </w:r>
          </w:p>
        </w:tc>
        <w:tc>
          <w:tcPr>
            <w:tcW w:w="1928" w:type="dxa"/>
            <w:shd w:val="clear" w:color="auto" w:fill="201547"/>
          </w:tcPr>
          <w:p w14:paraId="5A65BF41" w14:textId="15C3DACD" w:rsidR="000B4C52" w:rsidRDefault="004A7D77" w:rsidP="00896171">
            <w:pPr>
              <w:pStyle w:val="Tablecolhead"/>
              <w:jc w:val="center"/>
            </w:pPr>
            <w:r>
              <w:t xml:space="preserve">Likelihood: </w:t>
            </w:r>
            <w:r w:rsidR="000B4C52">
              <w:t>Possible</w:t>
            </w:r>
          </w:p>
        </w:tc>
        <w:tc>
          <w:tcPr>
            <w:tcW w:w="1928" w:type="dxa"/>
            <w:shd w:val="clear" w:color="auto" w:fill="201547"/>
          </w:tcPr>
          <w:p w14:paraId="0C6710B6" w14:textId="5700FB5B" w:rsidR="000B4C52" w:rsidRDefault="004A7D77" w:rsidP="00896171">
            <w:pPr>
              <w:pStyle w:val="Tablecolhead"/>
              <w:jc w:val="center"/>
            </w:pPr>
            <w:r>
              <w:t xml:space="preserve">Likelihood: </w:t>
            </w:r>
            <w:r w:rsidR="000B4C52">
              <w:t>Likely</w:t>
            </w:r>
          </w:p>
        </w:tc>
        <w:tc>
          <w:tcPr>
            <w:tcW w:w="1928" w:type="dxa"/>
            <w:shd w:val="clear" w:color="auto" w:fill="201547"/>
          </w:tcPr>
          <w:p w14:paraId="68F8BF67" w14:textId="3D3CD0DC" w:rsidR="000B4C52" w:rsidRDefault="004A7D77" w:rsidP="00896171">
            <w:pPr>
              <w:pStyle w:val="Tablecolhead"/>
              <w:jc w:val="center"/>
            </w:pPr>
            <w:r>
              <w:t xml:space="preserve">Likelihood: </w:t>
            </w:r>
            <w:r w:rsidR="000B4C52">
              <w:t>Certain</w:t>
            </w:r>
          </w:p>
        </w:tc>
      </w:tr>
      <w:tr w:rsidR="000B4C52" w14:paraId="003AC156" w14:textId="77777777" w:rsidTr="00896171">
        <w:trPr>
          <w:trHeight w:val="533"/>
        </w:trPr>
        <w:tc>
          <w:tcPr>
            <w:tcW w:w="1644" w:type="dxa"/>
            <w:shd w:val="clear" w:color="auto" w:fill="201547"/>
            <w:vAlign w:val="center"/>
          </w:tcPr>
          <w:p w14:paraId="38FFCC17" w14:textId="2F1C23A3" w:rsidR="000B4C52" w:rsidRDefault="000B4C52" w:rsidP="00896171">
            <w:pPr>
              <w:pStyle w:val="Tablecolhead"/>
            </w:pPr>
            <w:r>
              <w:t>Severe</w:t>
            </w:r>
          </w:p>
        </w:tc>
        <w:tc>
          <w:tcPr>
            <w:tcW w:w="1928" w:type="dxa"/>
            <w:shd w:val="clear" w:color="auto" w:fill="004EA8"/>
            <w:vAlign w:val="center"/>
          </w:tcPr>
          <w:p w14:paraId="48454FFE" w14:textId="26FF6EB0" w:rsidR="000B4C52" w:rsidRPr="004A7D77" w:rsidRDefault="0037030D" w:rsidP="00896171">
            <w:pPr>
              <w:pStyle w:val="Tabletext"/>
              <w:jc w:val="center"/>
              <w:rPr>
                <w:color w:val="FFFFFF" w:themeColor="background1"/>
              </w:rPr>
            </w:pPr>
            <w:r w:rsidRPr="004A7D77">
              <w:rPr>
                <w:color w:val="FFFFFF" w:themeColor="background1"/>
              </w:rPr>
              <w:t>Overall: Medium</w:t>
            </w:r>
          </w:p>
        </w:tc>
        <w:tc>
          <w:tcPr>
            <w:tcW w:w="1928" w:type="dxa"/>
            <w:shd w:val="clear" w:color="auto" w:fill="C5511A"/>
            <w:vAlign w:val="center"/>
          </w:tcPr>
          <w:p w14:paraId="261AA19C" w14:textId="621889EF" w:rsidR="000B4C52" w:rsidRPr="004A7D77" w:rsidRDefault="0037030D" w:rsidP="00896171">
            <w:pPr>
              <w:pStyle w:val="Tabletext"/>
              <w:jc w:val="center"/>
              <w:rPr>
                <w:color w:val="FFFFFF" w:themeColor="background1"/>
              </w:rPr>
            </w:pPr>
            <w:r w:rsidRPr="004A7D77">
              <w:rPr>
                <w:color w:val="FFFFFF" w:themeColor="background1"/>
              </w:rPr>
              <w:t>Overall: High</w:t>
            </w:r>
          </w:p>
        </w:tc>
        <w:tc>
          <w:tcPr>
            <w:tcW w:w="1928" w:type="dxa"/>
            <w:shd w:val="clear" w:color="auto" w:fill="D50032"/>
            <w:vAlign w:val="center"/>
          </w:tcPr>
          <w:p w14:paraId="66B6AB72" w14:textId="1EF8A8B7" w:rsidR="000B4C52" w:rsidRPr="004A7D77" w:rsidRDefault="0037030D" w:rsidP="00896171">
            <w:pPr>
              <w:pStyle w:val="Tabletext"/>
              <w:jc w:val="center"/>
              <w:rPr>
                <w:color w:val="FFFFFF" w:themeColor="background1"/>
              </w:rPr>
            </w:pPr>
            <w:r w:rsidRPr="004A7D77">
              <w:rPr>
                <w:color w:val="FFFFFF" w:themeColor="background1"/>
              </w:rPr>
              <w:t>Overall: Extreme</w:t>
            </w:r>
          </w:p>
        </w:tc>
        <w:tc>
          <w:tcPr>
            <w:tcW w:w="1928" w:type="dxa"/>
            <w:shd w:val="clear" w:color="auto" w:fill="D50032"/>
            <w:vAlign w:val="center"/>
          </w:tcPr>
          <w:p w14:paraId="08DC2316" w14:textId="206BAF71" w:rsidR="000B4C52" w:rsidRPr="004A7D77" w:rsidRDefault="0037030D" w:rsidP="00896171">
            <w:pPr>
              <w:pStyle w:val="Tabletext"/>
              <w:jc w:val="center"/>
              <w:rPr>
                <w:color w:val="FFFFFF" w:themeColor="background1"/>
              </w:rPr>
            </w:pPr>
            <w:r w:rsidRPr="004A7D77">
              <w:rPr>
                <w:color w:val="FFFFFF" w:themeColor="background1"/>
              </w:rPr>
              <w:t>Overall: Extreme</w:t>
            </w:r>
          </w:p>
        </w:tc>
      </w:tr>
      <w:tr w:rsidR="000B4C52" w14:paraId="0225575F" w14:textId="77777777" w:rsidTr="002C7563">
        <w:trPr>
          <w:trHeight w:val="533"/>
        </w:trPr>
        <w:tc>
          <w:tcPr>
            <w:tcW w:w="1644" w:type="dxa"/>
            <w:shd w:val="clear" w:color="auto" w:fill="201547"/>
            <w:vAlign w:val="center"/>
          </w:tcPr>
          <w:p w14:paraId="6917B883" w14:textId="71B62548" w:rsidR="000B4C52" w:rsidRDefault="000B4C52" w:rsidP="00896171">
            <w:pPr>
              <w:pStyle w:val="Tablecolhead"/>
            </w:pPr>
            <w:r>
              <w:t>Major</w:t>
            </w:r>
          </w:p>
        </w:tc>
        <w:tc>
          <w:tcPr>
            <w:tcW w:w="1928" w:type="dxa"/>
            <w:shd w:val="clear" w:color="auto" w:fill="004EA8"/>
            <w:vAlign w:val="center"/>
          </w:tcPr>
          <w:p w14:paraId="4E0E633D" w14:textId="32E970B1" w:rsidR="000B4C52" w:rsidRPr="004A7D77" w:rsidRDefault="0037030D" w:rsidP="00896171">
            <w:pPr>
              <w:pStyle w:val="Tabletext"/>
              <w:jc w:val="center"/>
              <w:rPr>
                <w:color w:val="FFFFFF" w:themeColor="background1"/>
              </w:rPr>
            </w:pPr>
            <w:r w:rsidRPr="004A7D77">
              <w:rPr>
                <w:color w:val="FFFFFF" w:themeColor="background1"/>
              </w:rPr>
              <w:t>Overall: Medium</w:t>
            </w:r>
          </w:p>
        </w:tc>
        <w:tc>
          <w:tcPr>
            <w:tcW w:w="1928" w:type="dxa"/>
            <w:shd w:val="clear" w:color="auto" w:fill="C5511A"/>
            <w:vAlign w:val="center"/>
          </w:tcPr>
          <w:p w14:paraId="190207BC" w14:textId="29CC2275" w:rsidR="000B4C52" w:rsidRPr="004A7D77" w:rsidRDefault="0037030D" w:rsidP="00896171">
            <w:pPr>
              <w:pStyle w:val="Tabletext"/>
              <w:jc w:val="center"/>
              <w:rPr>
                <w:color w:val="FFFFFF" w:themeColor="background1"/>
              </w:rPr>
            </w:pPr>
            <w:r w:rsidRPr="004A7D77">
              <w:rPr>
                <w:color w:val="FFFFFF" w:themeColor="background1"/>
              </w:rPr>
              <w:t>Overall: High</w:t>
            </w:r>
          </w:p>
        </w:tc>
        <w:tc>
          <w:tcPr>
            <w:tcW w:w="1928" w:type="dxa"/>
            <w:shd w:val="clear" w:color="auto" w:fill="C5511A"/>
            <w:vAlign w:val="center"/>
          </w:tcPr>
          <w:p w14:paraId="7DEF7256" w14:textId="1D6E2D70" w:rsidR="000B4C52" w:rsidRPr="004A7D77" w:rsidRDefault="004C3F9E" w:rsidP="00896171">
            <w:pPr>
              <w:pStyle w:val="Tabletext"/>
              <w:jc w:val="center"/>
              <w:rPr>
                <w:color w:val="FFFFFF" w:themeColor="background1"/>
              </w:rPr>
            </w:pPr>
            <w:r w:rsidRPr="004A7D77">
              <w:rPr>
                <w:color w:val="FFFFFF" w:themeColor="background1"/>
              </w:rPr>
              <w:t>Overall: High</w:t>
            </w:r>
          </w:p>
        </w:tc>
        <w:tc>
          <w:tcPr>
            <w:tcW w:w="1928" w:type="dxa"/>
            <w:shd w:val="clear" w:color="auto" w:fill="D50032"/>
            <w:vAlign w:val="center"/>
          </w:tcPr>
          <w:p w14:paraId="6602528A" w14:textId="3AF291F7" w:rsidR="000B4C52" w:rsidRPr="004A7D77" w:rsidRDefault="0037030D" w:rsidP="00896171">
            <w:pPr>
              <w:pStyle w:val="Tabletext"/>
              <w:jc w:val="center"/>
              <w:rPr>
                <w:color w:val="FFFFFF" w:themeColor="background1"/>
              </w:rPr>
            </w:pPr>
            <w:r w:rsidRPr="004A7D77">
              <w:rPr>
                <w:color w:val="FFFFFF" w:themeColor="background1"/>
              </w:rPr>
              <w:t>Overall: Extreme</w:t>
            </w:r>
          </w:p>
        </w:tc>
      </w:tr>
      <w:tr w:rsidR="000B4C52" w14:paraId="48C992EF" w14:textId="77777777" w:rsidTr="00896171">
        <w:trPr>
          <w:trHeight w:val="533"/>
        </w:trPr>
        <w:tc>
          <w:tcPr>
            <w:tcW w:w="1644" w:type="dxa"/>
            <w:shd w:val="clear" w:color="auto" w:fill="201547"/>
            <w:vAlign w:val="center"/>
          </w:tcPr>
          <w:p w14:paraId="6D9585D1" w14:textId="5316331E" w:rsidR="000B4C52" w:rsidRDefault="000B4C52" w:rsidP="00896171">
            <w:pPr>
              <w:pStyle w:val="Tablecolhead"/>
            </w:pPr>
            <w:r>
              <w:t>Medium</w:t>
            </w:r>
          </w:p>
        </w:tc>
        <w:tc>
          <w:tcPr>
            <w:tcW w:w="1928" w:type="dxa"/>
            <w:shd w:val="clear" w:color="auto" w:fill="007B4B"/>
            <w:vAlign w:val="center"/>
          </w:tcPr>
          <w:p w14:paraId="1C3B8683" w14:textId="03B3C6DC" w:rsidR="000B4C52" w:rsidRPr="004A7D77" w:rsidRDefault="0037030D" w:rsidP="00896171">
            <w:pPr>
              <w:pStyle w:val="Tabletext"/>
              <w:jc w:val="center"/>
              <w:rPr>
                <w:color w:val="FFFFFF" w:themeColor="background1"/>
              </w:rPr>
            </w:pPr>
            <w:r w:rsidRPr="004A7D77">
              <w:rPr>
                <w:color w:val="FFFFFF" w:themeColor="background1"/>
              </w:rPr>
              <w:t>Overall: Low</w:t>
            </w:r>
          </w:p>
        </w:tc>
        <w:tc>
          <w:tcPr>
            <w:tcW w:w="1928" w:type="dxa"/>
            <w:shd w:val="clear" w:color="auto" w:fill="004EA8"/>
            <w:vAlign w:val="center"/>
          </w:tcPr>
          <w:p w14:paraId="32A40311" w14:textId="303D3666" w:rsidR="000B4C52" w:rsidRPr="004A7D77" w:rsidRDefault="0037030D" w:rsidP="00896171">
            <w:pPr>
              <w:pStyle w:val="Tabletext"/>
              <w:jc w:val="center"/>
              <w:rPr>
                <w:color w:val="FFFFFF" w:themeColor="background1"/>
              </w:rPr>
            </w:pPr>
            <w:r w:rsidRPr="004A7D77">
              <w:rPr>
                <w:color w:val="FFFFFF" w:themeColor="background1"/>
              </w:rPr>
              <w:t>Overall: Medium</w:t>
            </w:r>
          </w:p>
        </w:tc>
        <w:tc>
          <w:tcPr>
            <w:tcW w:w="1928" w:type="dxa"/>
            <w:shd w:val="clear" w:color="auto" w:fill="C5511A"/>
            <w:vAlign w:val="center"/>
          </w:tcPr>
          <w:p w14:paraId="591674D9" w14:textId="5955CD11" w:rsidR="000B4C52" w:rsidRPr="004A7D77" w:rsidRDefault="0037030D" w:rsidP="00896171">
            <w:pPr>
              <w:pStyle w:val="Tabletext"/>
              <w:jc w:val="center"/>
              <w:rPr>
                <w:color w:val="FFFFFF" w:themeColor="background1"/>
              </w:rPr>
            </w:pPr>
            <w:r w:rsidRPr="004A7D77">
              <w:rPr>
                <w:color w:val="FFFFFF" w:themeColor="background1"/>
              </w:rPr>
              <w:t>Overall: High</w:t>
            </w:r>
          </w:p>
        </w:tc>
        <w:tc>
          <w:tcPr>
            <w:tcW w:w="1928" w:type="dxa"/>
            <w:shd w:val="clear" w:color="auto" w:fill="C5511A"/>
            <w:vAlign w:val="center"/>
          </w:tcPr>
          <w:p w14:paraId="4D8D8239" w14:textId="2907880C" w:rsidR="000B4C52" w:rsidRPr="004A7D77" w:rsidRDefault="0037030D" w:rsidP="00896171">
            <w:pPr>
              <w:pStyle w:val="Tabletext"/>
              <w:jc w:val="center"/>
              <w:rPr>
                <w:color w:val="FFFFFF" w:themeColor="background1"/>
              </w:rPr>
            </w:pPr>
            <w:r w:rsidRPr="004A7D77">
              <w:rPr>
                <w:color w:val="FFFFFF" w:themeColor="background1"/>
              </w:rPr>
              <w:t>Overall: High</w:t>
            </w:r>
          </w:p>
        </w:tc>
      </w:tr>
      <w:tr w:rsidR="000B4C52" w14:paraId="08198C63" w14:textId="77777777" w:rsidTr="00896171">
        <w:trPr>
          <w:trHeight w:val="533"/>
        </w:trPr>
        <w:tc>
          <w:tcPr>
            <w:tcW w:w="1644" w:type="dxa"/>
            <w:shd w:val="clear" w:color="auto" w:fill="201547"/>
            <w:vAlign w:val="center"/>
          </w:tcPr>
          <w:p w14:paraId="7816A693" w14:textId="05AF5DB9" w:rsidR="000B4C52" w:rsidRDefault="000B4C52" w:rsidP="00896171">
            <w:pPr>
              <w:pStyle w:val="Tablecolhead"/>
            </w:pPr>
            <w:r>
              <w:t>Minor</w:t>
            </w:r>
          </w:p>
        </w:tc>
        <w:tc>
          <w:tcPr>
            <w:tcW w:w="1928" w:type="dxa"/>
            <w:shd w:val="clear" w:color="auto" w:fill="007B4B"/>
            <w:vAlign w:val="center"/>
          </w:tcPr>
          <w:p w14:paraId="180147BF" w14:textId="5D198D69" w:rsidR="000B4C52" w:rsidRPr="004A7D77" w:rsidRDefault="0037030D" w:rsidP="00896171">
            <w:pPr>
              <w:pStyle w:val="Tabletext"/>
              <w:jc w:val="center"/>
              <w:rPr>
                <w:color w:val="FFFFFF" w:themeColor="background1"/>
              </w:rPr>
            </w:pPr>
            <w:r w:rsidRPr="004A7D77">
              <w:rPr>
                <w:color w:val="FFFFFF" w:themeColor="background1"/>
              </w:rPr>
              <w:t>Overall: Low</w:t>
            </w:r>
          </w:p>
        </w:tc>
        <w:tc>
          <w:tcPr>
            <w:tcW w:w="1928" w:type="dxa"/>
            <w:shd w:val="clear" w:color="auto" w:fill="007B4B"/>
            <w:vAlign w:val="center"/>
          </w:tcPr>
          <w:p w14:paraId="042A250F" w14:textId="0304A4FA" w:rsidR="000B4C52" w:rsidRPr="004A7D77" w:rsidRDefault="0037030D" w:rsidP="00896171">
            <w:pPr>
              <w:pStyle w:val="Tabletext"/>
              <w:jc w:val="center"/>
              <w:rPr>
                <w:color w:val="FFFFFF" w:themeColor="background1"/>
              </w:rPr>
            </w:pPr>
            <w:r w:rsidRPr="004A7D77">
              <w:rPr>
                <w:color w:val="FFFFFF" w:themeColor="background1"/>
              </w:rPr>
              <w:t>Overall: Low</w:t>
            </w:r>
          </w:p>
        </w:tc>
        <w:tc>
          <w:tcPr>
            <w:tcW w:w="1928" w:type="dxa"/>
            <w:shd w:val="clear" w:color="auto" w:fill="004EA8"/>
            <w:vAlign w:val="center"/>
          </w:tcPr>
          <w:p w14:paraId="5FDC6C8A" w14:textId="7C4CC3C4" w:rsidR="000B4C52" w:rsidRPr="004A7D77" w:rsidRDefault="0037030D" w:rsidP="00896171">
            <w:pPr>
              <w:pStyle w:val="Tabletext"/>
              <w:jc w:val="center"/>
              <w:rPr>
                <w:color w:val="FFFFFF" w:themeColor="background1"/>
              </w:rPr>
            </w:pPr>
            <w:r w:rsidRPr="004A7D77">
              <w:rPr>
                <w:color w:val="FFFFFF" w:themeColor="background1"/>
              </w:rPr>
              <w:t>Overall: Medium</w:t>
            </w:r>
          </w:p>
        </w:tc>
        <w:tc>
          <w:tcPr>
            <w:tcW w:w="1928" w:type="dxa"/>
            <w:shd w:val="clear" w:color="auto" w:fill="004EA8"/>
            <w:vAlign w:val="center"/>
          </w:tcPr>
          <w:p w14:paraId="263CDDE6" w14:textId="0358B6CF" w:rsidR="000B4C52" w:rsidRPr="004A7D77" w:rsidRDefault="0037030D" w:rsidP="00896171">
            <w:pPr>
              <w:pStyle w:val="Tabletext"/>
              <w:jc w:val="center"/>
              <w:rPr>
                <w:color w:val="FFFFFF" w:themeColor="background1"/>
              </w:rPr>
            </w:pPr>
            <w:r w:rsidRPr="004A7D77">
              <w:rPr>
                <w:color w:val="FFFFFF" w:themeColor="background1"/>
              </w:rPr>
              <w:t>Overall: Medium</w:t>
            </w:r>
          </w:p>
        </w:tc>
      </w:tr>
    </w:tbl>
    <w:p w14:paraId="3B9090F8" w14:textId="7FD67CDF" w:rsidR="000B4C52" w:rsidRDefault="00000000" w:rsidP="00896171">
      <w:pPr>
        <w:pStyle w:val="Bodyaftertablefigure"/>
      </w:pPr>
      <w:hyperlink w:anchor="_How_the_HSR" w:history="1">
        <w:r w:rsidR="003918D7" w:rsidRPr="00CF0376">
          <w:rPr>
            <w:rStyle w:val="Hyperlink"/>
          </w:rPr>
          <w:t>Return to</w:t>
        </w:r>
        <w:r w:rsidR="00CF0376" w:rsidRPr="00CF0376">
          <w:rPr>
            <w:rStyle w:val="Hyperlink"/>
          </w:rPr>
          <w:t xml:space="preserve"> </w:t>
        </w:r>
        <w:r w:rsidR="00CF0376" w:rsidRPr="00CF0376">
          <w:rPr>
            <w:rStyle w:val="Hyperlink"/>
            <w:b/>
            <w:bCs/>
          </w:rPr>
          <w:t>How the HSR assesses risk</w:t>
        </w:r>
      </w:hyperlink>
      <w:r w:rsidR="00CF0376">
        <w:t>.</w:t>
      </w:r>
    </w:p>
    <w:p w14:paraId="6D91A84D" w14:textId="47410C0C" w:rsidR="000B4C52" w:rsidRPr="000B4C52" w:rsidRDefault="000B4C52" w:rsidP="00896171">
      <w:pPr>
        <w:pStyle w:val="Body"/>
      </w:pPr>
    </w:p>
    <w:sectPr w:rsidR="000B4C52" w:rsidRPr="000B4C52" w:rsidSect="009F4FD9">
      <w:headerReference w:type="even" r:id="rId35"/>
      <w:headerReference w:type="default" r:id="rId36"/>
      <w:footerReference w:type="even" r:id="rId37"/>
      <w:footerReference w:type="default" r:id="rId38"/>
      <w:type w:val="continuous"/>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82503" w14:textId="77777777" w:rsidR="009D22BA" w:rsidRDefault="009D22BA">
      <w:r>
        <w:separator/>
      </w:r>
    </w:p>
    <w:p w14:paraId="5D50D1A2" w14:textId="77777777" w:rsidR="009D22BA" w:rsidRDefault="009D22BA"/>
  </w:endnote>
  <w:endnote w:type="continuationSeparator" w:id="0">
    <w:p w14:paraId="5B60EBBA" w14:textId="77777777" w:rsidR="009D22BA" w:rsidRDefault="009D22BA">
      <w:r>
        <w:continuationSeparator/>
      </w:r>
    </w:p>
    <w:p w14:paraId="30401A5C" w14:textId="77777777" w:rsidR="009D22BA" w:rsidRDefault="009D22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94DE6" w:rsidRDefault="00E94DE6">
    <w:pPr>
      <w:pStyle w:val="Footer"/>
    </w:pPr>
    <w:r>
      <w:rPr>
        <w:noProof/>
      </w:rPr>
      <mc:AlternateContent>
        <mc:Choice Requires="wps">
          <w:drawing>
            <wp:anchor distT="0" distB="0" distL="114300" distR="114300" simplePos="0" relativeHeight="25168793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94DE6" w:rsidRPr="00EB4BC7" w:rsidRDefault="00E94DE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" o:allowincell="f" filled="f" stroked="f" strokeweight=".5pt">
              <v:textbox inset=",0,,0">
                <w:txbxContent>
                  <w:p w14:paraId="55F389B9" w14:textId="31CAAB1A" w:rsidR="00E94DE6" w:rsidRPr="00EB4BC7" w:rsidRDefault="00E94DE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E94DE6" w:rsidRDefault="00E94DE6">
    <w:pPr>
      <w:pStyle w:val="Footer"/>
    </w:pPr>
    <w:r>
      <w:rPr>
        <w:noProof/>
        <w:lang w:eastAsia="en-AU"/>
      </w:rPr>
      <mc:AlternateContent>
        <mc:Choice Requires="wps">
          <w:drawing>
            <wp:anchor distT="0" distB="0" distL="114300" distR="114300" simplePos="0" relativeHeight="251685887"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94DE6" w:rsidRPr="00EB4BC7" w:rsidRDefault="00E94DE6"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" o:allowincell="f" filled="f" stroked="f" strokeweight=".5pt">
              <v:textbox inset=",0,,0">
                <w:txbxContent>
                  <w:p w14:paraId="6C8B923F" w14:textId="188DBC95" w:rsidR="00E94DE6" w:rsidRPr="00EB4BC7" w:rsidRDefault="00E94DE6"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94DE6" w:rsidRDefault="00E94DE6">
    <w:pPr>
      <w:pStyle w:val="Footer"/>
    </w:pPr>
    <w:r>
      <w:rPr>
        <w:noProof/>
      </w:rPr>
      <mc:AlternateContent>
        <mc:Choice Requires="wps">
          <w:drawing>
            <wp:anchor distT="0" distB="0" distL="114300" distR="114300" simplePos="0" relativeHeight="2516861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94DE6" w:rsidRPr="00EB4BC7" w:rsidRDefault="00E94DE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" o:allowincell="f" filled="f" stroked="f" strokeweight=".5pt">
              <v:textbox inset=",0,,0">
                <w:txbxContent>
                  <w:p w14:paraId="4086DCEE" w14:textId="7687AF4A" w:rsidR="00E94DE6" w:rsidRPr="00EB4BC7" w:rsidRDefault="00E94DE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E94DE6" w:rsidRDefault="00E94DE6">
    <w:pPr>
      <w:pStyle w:val="Footer"/>
    </w:pPr>
    <w:r>
      <w:rPr>
        <w:noProof/>
        <w:lang w:eastAsia="en-AU"/>
      </w:rPr>
      <mc:AlternateContent>
        <mc:Choice Requires="wps">
          <w:drawing>
            <wp:anchor distT="0" distB="0" distL="114300" distR="114300" simplePos="0" relativeHeight="251693568"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E94DE6" w:rsidRPr="002C5B7C" w:rsidRDefault="00E94DE6"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" o:allowincell="f" filled="f" stroked="f" strokeweight=".5pt">
              <v:textbox inset=",0,,0">
                <w:txbxContent>
                  <w:p w14:paraId="187CC088" w14:textId="35729B6B" w:rsidR="00E94DE6" w:rsidRPr="002C5B7C" w:rsidRDefault="00E94DE6"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E347BBB" w:rsidR="00E94DE6" w:rsidRDefault="00E94DE6" w:rsidP="00DC00C1">
    <w:pPr>
      <w:pStyle w:val="Footer"/>
      <w:tabs>
        <w:tab w:val="left" w:pos="3667"/>
      </w:tabs>
    </w:pPr>
    <w:r>
      <w:rPr>
        <w:noProof/>
        <w:lang w:eastAsia="en-AU"/>
      </w:rPr>
      <mc:AlternateContent>
        <mc:Choice Requires="wps">
          <w:drawing>
            <wp:anchor distT="0" distB="0" distL="114300" distR="114300" simplePos="0" relativeHeight="251696640"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E94DE6" w:rsidRPr="001C7128" w:rsidRDefault="00E94DE6"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" o:allowincell="f" filled="f" stroked="f" strokeweight=".5pt">
              <v:textbox inset=",0,,0">
                <w:txbxContent>
                  <w:p w14:paraId="08EC5D7E" w14:textId="292E2C3E" w:rsidR="00E94DE6" w:rsidRPr="001C7128" w:rsidRDefault="00E94DE6"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94DE6" w:rsidRPr="00EB4BC7" w:rsidRDefault="00E94DE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" o:allowincell="f" filled="f" stroked="f" strokeweight=".5pt">
              <v:textbox inset=",0,,0">
                <w:txbxContent>
                  <w:p w14:paraId="54918659" w14:textId="5CB96CC1" w:rsidR="00E94DE6" w:rsidRPr="00EB4BC7" w:rsidRDefault="00E94DE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ADFA4" w14:textId="77777777" w:rsidR="009D22BA" w:rsidRDefault="009D22BA" w:rsidP="00207717">
      <w:pPr>
        <w:spacing w:before="120"/>
      </w:pPr>
      <w:r>
        <w:separator/>
      </w:r>
    </w:p>
  </w:footnote>
  <w:footnote w:type="continuationSeparator" w:id="0">
    <w:p w14:paraId="6E70BD8A" w14:textId="77777777" w:rsidR="009D22BA" w:rsidRDefault="009D22BA">
      <w:r>
        <w:continuationSeparator/>
      </w:r>
    </w:p>
    <w:p w14:paraId="762436AA" w14:textId="77777777" w:rsidR="009D22BA" w:rsidRDefault="009D22BA"/>
  </w:footnote>
  <w:footnote w:id="1">
    <w:p w14:paraId="67DED901" w14:textId="77777777" w:rsidR="00E94DE6" w:rsidRDefault="00E94DE6" w:rsidP="00950E29">
      <w:pPr>
        <w:pStyle w:val="FootnoteText"/>
      </w:pPr>
      <w:r>
        <w:rPr>
          <w:rStyle w:val="FootnoteReference"/>
        </w:rPr>
        <w:footnoteRef/>
      </w:r>
      <w:r>
        <w:t xml:space="preserve"> W</w:t>
      </w:r>
      <w:r w:rsidRPr="00464471">
        <w:t xml:space="preserve">ith </w:t>
      </w:r>
      <w:r>
        <w:t xml:space="preserve">the </w:t>
      </w:r>
      <w:r w:rsidRPr="00464471">
        <w:t>exception of</w:t>
      </w:r>
      <w:r>
        <w:t xml:space="preserve"> the</w:t>
      </w:r>
      <w:r w:rsidRPr="00464471">
        <w:t xml:space="preserve"> Child Wellbeing and Safety Act 2005 (CWS</w:t>
      </w:r>
      <w:r>
        <w:t xml:space="preserve"> Act</w:t>
      </w:r>
      <w:r w:rsidRPr="00464471">
        <w:t>)</w:t>
      </w:r>
    </w:p>
  </w:footnote>
  <w:footnote w:id="2">
    <w:p w14:paraId="53D8F577" w14:textId="343FCF17" w:rsidR="006E28C4" w:rsidRDefault="006E28C4">
      <w:pPr>
        <w:pStyle w:val="FootnoteText"/>
      </w:pPr>
      <w:r>
        <w:rPr>
          <w:rStyle w:val="FootnoteReference"/>
        </w:rPr>
        <w:footnoteRef/>
      </w:r>
      <w:r>
        <w:t xml:space="preserve"> </w:t>
      </w:r>
      <w:r w:rsidRPr="004B1692">
        <w:rPr>
          <w:szCs w:val="18"/>
        </w:rPr>
        <w:t>DFFH refers to the Department of Families, Fairness and Housing in this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F0C4" w14:textId="77777777" w:rsidR="002C7563" w:rsidRDefault="002C7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8C1D" w14:textId="77777777" w:rsidR="002C7563" w:rsidRDefault="002C7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FAC6" w14:textId="77777777" w:rsidR="002C7563" w:rsidRDefault="002C75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E94DE6" w:rsidRDefault="00E94DE6">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35F2D232" w:rsidR="00E94DE6" w:rsidRPr="001C7128" w:rsidRDefault="00E94DE6" w:rsidP="00950E29">
    <w:pPr>
      <w:pStyle w:val="Header"/>
    </w:pPr>
    <w:r>
      <w:t>Human Services Regulator</w:t>
    </w:r>
    <w:r w:rsidR="007B6C10">
      <w:t xml:space="preserve"> compliance and enforcement policy </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rPr>
      <w:t>7</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BE9"/>
    <w:multiLevelType w:val="hybridMultilevel"/>
    <w:tmpl w:val="FAC4BFE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1F01C1B"/>
    <w:multiLevelType w:val="hybridMultilevel"/>
    <w:tmpl w:val="EBEAF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742C0E20"/>
    <w:multiLevelType w:val="multilevel"/>
    <w:tmpl w:val="5BBCBACC"/>
    <w:styleLink w:val="EPABullets"/>
    <w:lvl w:ilvl="0">
      <w:start w:val="1"/>
      <w:numFmt w:val="bullet"/>
      <w:lvlText w:val=""/>
      <w:lvlJc w:val="left"/>
      <w:pPr>
        <w:ind w:left="567" w:hanging="283"/>
      </w:pPr>
      <w:rPr>
        <w:rFonts w:ascii="Symbol" w:hAnsi="Symbol" w:hint="default"/>
      </w:rPr>
    </w:lvl>
    <w:lvl w:ilvl="1">
      <w:start w:val="1"/>
      <w:numFmt w:val="bullet"/>
      <w:lvlText w:val=""/>
      <w:lvlJc w:val="left"/>
      <w:pPr>
        <w:ind w:left="851" w:hanging="283"/>
      </w:pPr>
      <w:rPr>
        <w:rFonts w:ascii="Symbol" w:hAnsi="Symbol" w:hint="default"/>
      </w:rPr>
    </w:lvl>
    <w:lvl w:ilvl="2">
      <w:start w:val="1"/>
      <w:numFmt w:val="bullet"/>
      <w:lvlText w:val=""/>
      <w:lvlJc w:val="left"/>
      <w:pPr>
        <w:ind w:left="1135" w:hanging="283"/>
      </w:pPr>
      <w:rPr>
        <w:rFonts w:ascii="Symbol" w:hAnsi="Symbol"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Symbol" w:hAnsi="Symbol" w:hint="default"/>
      </w:rPr>
    </w:lvl>
    <w:lvl w:ilvl="6">
      <w:start w:val="1"/>
      <w:numFmt w:val="bullet"/>
      <w:lvlText w:val=""/>
      <w:lvlJc w:val="left"/>
      <w:pPr>
        <w:ind w:left="2271" w:hanging="283"/>
      </w:pPr>
      <w:rPr>
        <w:rFonts w:ascii="Symbol" w:hAnsi="Symbol"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num w:numId="1" w16cid:durableId="1356349213">
    <w:abstractNumId w:val="3"/>
  </w:num>
  <w:num w:numId="2" w16cid:durableId="1898710337">
    <w:abstractNumId w:val="6"/>
  </w:num>
  <w:num w:numId="3" w16cid:durableId="1611811518">
    <w:abstractNumId w:val="5"/>
  </w:num>
  <w:num w:numId="4" w16cid:durableId="18493267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0202477">
    <w:abstractNumId w:val="7"/>
  </w:num>
  <w:num w:numId="6" w16cid:durableId="1840583357">
    <w:abstractNumId w:val="4"/>
  </w:num>
  <w:num w:numId="7" w16cid:durableId="1874608555">
    <w:abstractNumId w:val="1"/>
  </w:num>
  <w:num w:numId="8" w16cid:durableId="603925950">
    <w:abstractNumId w:val="8"/>
  </w:num>
  <w:num w:numId="9" w16cid:durableId="139813600">
    <w:abstractNumId w:val="0"/>
  </w:num>
  <w:num w:numId="10" w16cid:durableId="195652189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4FCC"/>
    <w:rsid w:val="00005347"/>
    <w:rsid w:val="000072B6"/>
    <w:rsid w:val="0001021B"/>
    <w:rsid w:val="00011D89"/>
    <w:rsid w:val="000154FD"/>
    <w:rsid w:val="00022271"/>
    <w:rsid w:val="000223EA"/>
    <w:rsid w:val="000235E8"/>
    <w:rsid w:val="00024D89"/>
    <w:rsid w:val="000250B6"/>
    <w:rsid w:val="00033D81"/>
    <w:rsid w:val="00033DC9"/>
    <w:rsid w:val="000368C0"/>
    <w:rsid w:val="000371AE"/>
    <w:rsid w:val="00037366"/>
    <w:rsid w:val="00041BF0"/>
    <w:rsid w:val="00042C8A"/>
    <w:rsid w:val="0004536B"/>
    <w:rsid w:val="00046B68"/>
    <w:rsid w:val="000527DD"/>
    <w:rsid w:val="00055917"/>
    <w:rsid w:val="00056EC4"/>
    <w:rsid w:val="000578B2"/>
    <w:rsid w:val="00060959"/>
    <w:rsid w:val="00060C8F"/>
    <w:rsid w:val="00060D57"/>
    <w:rsid w:val="0006298A"/>
    <w:rsid w:val="00063596"/>
    <w:rsid w:val="000663CD"/>
    <w:rsid w:val="000733FE"/>
    <w:rsid w:val="00074219"/>
    <w:rsid w:val="00074ED5"/>
    <w:rsid w:val="0008170F"/>
    <w:rsid w:val="0008204A"/>
    <w:rsid w:val="0008508E"/>
    <w:rsid w:val="00087951"/>
    <w:rsid w:val="0009113B"/>
    <w:rsid w:val="00093402"/>
    <w:rsid w:val="00094DA3"/>
    <w:rsid w:val="00096734"/>
    <w:rsid w:val="00096CD1"/>
    <w:rsid w:val="000A012C"/>
    <w:rsid w:val="000A0EB9"/>
    <w:rsid w:val="000A186C"/>
    <w:rsid w:val="000A1EA4"/>
    <w:rsid w:val="000A2476"/>
    <w:rsid w:val="000A641A"/>
    <w:rsid w:val="000B3EDB"/>
    <w:rsid w:val="000B4C52"/>
    <w:rsid w:val="000B543D"/>
    <w:rsid w:val="000B55F9"/>
    <w:rsid w:val="000B5BF7"/>
    <w:rsid w:val="000B6BC8"/>
    <w:rsid w:val="000C0303"/>
    <w:rsid w:val="000C2E36"/>
    <w:rsid w:val="000C42EA"/>
    <w:rsid w:val="000C4546"/>
    <w:rsid w:val="000C6DCE"/>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24D1"/>
    <w:rsid w:val="00143947"/>
    <w:rsid w:val="001447B3"/>
    <w:rsid w:val="00152073"/>
    <w:rsid w:val="00152329"/>
    <w:rsid w:val="00153B42"/>
    <w:rsid w:val="00156598"/>
    <w:rsid w:val="00161939"/>
    <w:rsid w:val="00161A16"/>
    <w:rsid w:val="00161AA0"/>
    <w:rsid w:val="00161D2E"/>
    <w:rsid w:val="00161F3E"/>
    <w:rsid w:val="00162093"/>
    <w:rsid w:val="00162CA9"/>
    <w:rsid w:val="0016306A"/>
    <w:rsid w:val="00165459"/>
    <w:rsid w:val="00165A57"/>
    <w:rsid w:val="00166C59"/>
    <w:rsid w:val="001708A9"/>
    <w:rsid w:val="001712C2"/>
    <w:rsid w:val="00172BAF"/>
    <w:rsid w:val="00172ED0"/>
    <w:rsid w:val="0017674D"/>
    <w:rsid w:val="001771DD"/>
    <w:rsid w:val="00177995"/>
    <w:rsid w:val="00177A8C"/>
    <w:rsid w:val="0018244E"/>
    <w:rsid w:val="00186B33"/>
    <w:rsid w:val="00192F9D"/>
    <w:rsid w:val="00193703"/>
    <w:rsid w:val="00196EB8"/>
    <w:rsid w:val="00196EFB"/>
    <w:rsid w:val="00197372"/>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DED"/>
    <w:rsid w:val="001D6F59"/>
    <w:rsid w:val="001E2829"/>
    <w:rsid w:val="001E2BA0"/>
    <w:rsid w:val="001E44DF"/>
    <w:rsid w:val="001E68A5"/>
    <w:rsid w:val="001E6BB0"/>
    <w:rsid w:val="001E7282"/>
    <w:rsid w:val="001F337A"/>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67"/>
    <w:rsid w:val="002333F5"/>
    <w:rsid w:val="00233724"/>
    <w:rsid w:val="002365B4"/>
    <w:rsid w:val="00237B31"/>
    <w:rsid w:val="00243222"/>
    <w:rsid w:val="002432E1"/>
    <w:rsid w:val="00246207"/>
    <w:rsid w:val="00246C5E"/>
    <w:rsid w:val="00247950"/>
    <w:rsid w:val="00250960"/>
    <w:rsid w:val="00251343"/>
    <w:rsid w:val="002536A4"/>
    <w:rsid w:val="00253A3E"/>
    <w:rsid w:val="00254F58"/>
    <w:rsid w:val="002600BD"/>
    <w:rsid w:val="00260460"/>
    <w:rsid w:val="002620BC"/>
    <w:rsid w:val="00262802"/>
    <w:rsid w:val="00263A90"/>
    <w:rsid w:val="0026408B"/>
    <w:rsid w:val="00264D3A"/>
    <w:rsid w:val="00267C3E"/>
    <w:rsid w:val="002709BB"/>
    <w:rsid w:val="0027131C"/>
    <w:rsid w:val="0027133F"/>
    <w:rsid w:val="0027245D"/>
    <w:rsid w:val="00273BAC"/>
    <w:rsid w:val="002763B3"/>
    <w:rsid w:val="00276E14"/>
    <w:rsid w:val="002802E3"/>
    <w:rsid w:val="0028213D"/>
    <w:rsid w:val="002862F1"/>
    <w:rsid w:val="002902F5"/>
    <w:rsid w:val="00291373"/>
    <w:rsid w:val="0029597D"/>
    <w:rsid w:val="002962C3"/>
    <w:rsid w:val="0029752B"/>
    <w:rsid w:val="002A0A9C"/>
    <w:rsid w:val="002A3680"/>
    <w:rsid w:val="002A483C"/>
    <w:rsid w:val="002B0C7C"/>
    <w:rsid w:val="002B1729"/>
    <w:rsid w:val="002B36C7"/>
    <w:rsid w:val="002B4DD4"/>
    <w:rsid w:val="002B5277"/>
    <w:rsid w:val="002B5375"/>
    <w:rsid w:val="002B77C1"/>
    <w:rsid w:val="002C0ED7"/>
    <w:rsid w:val="002C2728"/>
    <w:rsid w:val="002C5B7C"/>
    <w:rsid w:val="002C7563"/>
    <w:rsid w:val="002D1E0D"/>
    <w:rsid w:val="002D2F82"/>
    <w:rsid w:val="002D5006"/>
    <w:rsid w:val="002D7C61"/>
    <w:rsid w:val="002D7E79"/>
    <w:rsid w:val="002E01D0"/>
    <w:rsid w:val="002E161D"/>
    <w:rsid w:val="002E24B2"/>
    <w:rsid w:val="002E28A2"/>
    <w:rsid w:val="002E3100"/>
    <w:rsid w:val="002E3A65"/>
    <w:rsid w:val="002E6C95"/>
    <w:rsid w:val="002E7C36"/>
    <w:rsid w:val="002F2641"/>
    <w:rsid w:val="002F3D32"/>
    <w:rsid w:val="002F5F31"/>
    <w:rsid w:val="002F5F46"/>
    <w:rsid w:val="00302216"/>
    <w:rsid w:val="00303E53"/>
    <w:rsid w:val="00305CC1"/>
    <w:rsid w:val="00306E5F"/>
    <w:rsid w:val="00307E14"/>
    <w:rsid w:val="00311884"/>
    <w:rsid w:val="00314054"/>
    <w:rsid w:val="003145F7"/>
    <w:rsid w:val="00316F27"/>
    <w:rsid w:val="003214F1"/>
    <w:rsid w:val="003228B8"/>
    <w:rsid w:val="00322E4B"/>
    <w:rsid w:val="00324415"/>
    <w:rsid w:val="00327870"/>
    <w:rsid w:val="0033259D"/>
    <w:rsid w:val="003333D2"/>
    <w:rsid w:val="00334686"/>
    <w:rsid w:val="00337339"/>
    <w:rsid w:val="0034002E"/>
    <w:rsid w:val="00340345"/>
    <w:rsid w:val="003406C6"/>
    <w:rsid w:val="003418CC"/>
    <w:rsid w:val="003434EE"/>
    <w:rsid w:val="003459BD"/>
    <w:rsid w:val="00350D38"/>
    <w:rsid w:val="00351B36"/>
    <w:rsid w:val="00357B4E"/>
    <w:rsid w:val="0037030D"/>
    <w:rsid w:val="003716FD"/>
    <w:rsid w:val="0037204B"/>
    <w:rsid w:val="003725C7"/>
    <w:rsid w:val="003744CF"/>
    <w:rsid w:val="00374717"/>
    <w:rsid w:val="0037676C"/>
    <w:rsid w:val="00381043"/>
    <w:rsid w:val="003829E5"/>
    <w:rsid w:val="00386109"/>
    <w:rsid w:val="00386944"/>
    <w:rsid w:val="003918D7"/>
    <w:rsid w:val="003952E0"/>
    <w:rsid w:val="003956CC"/>
    <w:rsid w:val="00395C9A"/>
    <w:rsid w:val="0039689F"/>
    <w:rsid w:val="003A0604"/>
    <w:rsid w:val="003A0853"/>
    <w:rsid w:val="003A6B67"/>
    <w:rsid w:val="003B13B6"/>
    <w:rsid w:val="003B14C3"/>
    <w:rsid w:val="003B15E6"/>
    <w:rsid w:val="003B22EF"/>
    <w:rsid w:val="003B408A"/>
    <w:rsid w:val="003B53C6"/>
    <w:rsid w:val="003B5BF7"/>
    <w:rsid w:val="003C08A2"/>
    <w:rsid w:val="003C124C"/>
    <w:rsid w:val="003C2045"/>
    <w:rsid w:val="003C43A1"/>
    <w:rsid w:val="003C4FC0"/>
    <w:rsid w:val="003C55F4"/>
    <w:rsid w:val="003C7243"/>
    <w:rsid w:val="003C7897"/>
    <w:rsid w:val="003C7A3F"/>
    <w:rsid w:val="003D2766"/>
    <w:rsid w:val="003D2A74"/>
    <w:rsid w:val="003D3D88"/>
    <w:rsid w:val="003D3E8F"/>
    <w:rsid w:val="003D6475"/>
    <w:rsid w:val="003D6EE6"/>
    <w:rsid w:val="003E36FA"/>
    <w:rsid w:val="003E375C"/>
    <w:rsid w:val="003E4086"/>
    <w:rsid w:val="003E639E"/>
    <w:rsid w:val="003E71E5"/>
    <w:rsid w:val="003F0445"/>
    <w:rsid w:val="003F0CF0"/>
    <w:rsid w:val="003F14B1"/>
    <w:rsid w:val="003F2B20"/>
    <w:rsid w:val="003F3289"/>
    <w:rsid w:val="003F3C62"/>
    <w:rsid w:val="003F4292"/>
    <w:rsid w:val="003F5CB9"/>
    <w:rsid w:val="004013C7"/>
    <w:rsid w:val="00401FCF"/>
    <w:rsid w:val="004033E2"/>
    <w:rsid w:val="00406285"/>
    <w:rsid w:val="00410840"/>
    <w:rsid w:val="004115A2"/>
    <w:rsid w:val="004148F9"/>
    <w:rsid w:val="00417BF4"/>
    <w:rsid w:val="0042084E"/>
    <w:rsid w:val="00421EEF"/>
    <w:rsid w:val="00424D65"/>
    <w:rsid w:val="0042526D"/>
    <w:rsid w:val="00427676"/>
    <w:rsid w:val="00430393"/>
    <w:rsid w:val="00431806"/>
    <w:rsid w:val="00431A70"/>
    <w:rsid w:val="00431F42"/>
    <w:rsid w:val="00442C6C"/>
    <w:rsid w:val="00443611"/>
    <w:rsid w:val="00443CBE"/>
    <w:rsid w:val="00443E8A"/>
    <w:rsid w:val="004441BC"/>
    <w:rsid w:val="004468B4"/>
    <w:rsid w:val="00446D86"/>
    <w:rsid w:val="004509E9"/>
    <w:rsid w:val="0045230A"/>
    <w:rsid w:val="00454AD0"/>
    <w:rsid w:val="00455EEB"/>
    <w:rsid w:val="00457337"/>
    <w:rsid w:val="00462E3D"/>
    <w:rsid w:val="00466E79"/>
    <w:rsid w:val="00470D7D"/>
    <w:rsid w:val="0047372D"/>
    <w:rsid w:val="00473BA3"/>
    <w:rsid w:val="004743DD"/>
    <w:rsid w:val="00474CEA"/>
    <w:rsid w:val="00477307"/>
    <w:rsid w:val="00483968"/>
    <w:rsid w:val="004841BE"/>
    <w:rsid w:val="00484F86"/>
    <w:rsid w:val="00490746"/>
    <w:rsid w:val="00490852"/>
    <w:rsid w:val="00491C9C"/>
    <w:rsid w:val="004921F4"/>
    <w:rsid w:val="00492F30"/>
    <w:rsid w:val="004946F4"/>
    <w:rsid w:val="0049487E"/>
    <w:rsid w:val="004A160D"/>
    <w:rsid w:val="004A3E81"/>
    <w:rsid w:val="004A4195"/>
    <w:rsid w:val="004A5C62"/>
    <w:rsid w:val="004A5CE5"/>
    <w:rsid w:val="004A6557"/>
    <w:rsid w:val="004A707D"/>
    <w:rsid w:val="004A7D77"/>
    <w:rsid w:val="004B0974"/>
    <w:rsid w:val="004B1692"/>
    <w:rsid w:val="004B4185"/>
    <w:rsid w:val="004C3F9E"/>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A2"/>
    <w:rsid w:val="00503DC6"/>
    <w:rsid w:val="00506F5D"/>
    <w:rsid w:val="00510C37"/>
    <w:rsid w:val="005126D0"/>
    <w:rsid w:val="00514667"/>
    <w:rsid w:val="0051568D"/>
    <w:rsid w:val="00515B8B"/>
    <w:rsid w:val="00520F20"/>
    <w:rsid w:val="00526AC7"/>
    <w:rsid w:val="00526C15"/>
    <w:rsid w:val="00532974"/>
    <w:rsid w:val="00536499"/>
    <w:rsid w:val="0053720D"/>
    <w:rsid w:val="00542A03"/>
    <w:rsid w:val="00543903"/>
    <w:rsid w:val="00543BCC"/>
    <w:rsid w:val="00543F11"/>
    <w:rsid w:val="00546305"/>
    <w:rsid w:val="00547A95"/>
    <w:rsid w:val="0055097C"/>
    <w:rsid w:val="00550D39"/>
    <w:rsid w:val="0055119B"/>
    <w:rsid w:val="00561202"/>
    <w:rsid w:val="00562507"/>
    <w:rsid w:val="00562811"/>
    <w:rsid w:val="00572031"/>
    <w:rsid w:val="00572282"/>
    <w:rsid w:val="00573CE3"/>
    <w:rsid w:val="00576E84"/>
    <w:rsid w:val="00580394"/>
    <w:rsid w:val="005809CD"/>
    <w:rsid w:val="00580DC2"/>
    <w:rsid w:val="00582B8C"/>
    <w:rsid w:val="0058757E"/>
    <w:rsid w:val="0059325B"/>
    <w:rsid w:val="00596A4B"/>
    <w:rsid w:val="00597507"/>
    <w:rsid w:val="005A479D"/>
    <w:rsid w:val="005B1C6D"/>
    <w:rsid w:val="005B21B6"/>
    <w:rsid w:val="005B3687"/>
    <w:rsid w:val="005B3A08"/>
    <w:rsid w:val="005B6AB9"/>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526F"/>
    <w:rsid w:val="005F64CF"/>
    <w:rsid w:val="0060397C"/>
    <w:rsid w:val="006041AD"/>
    <w:rsid w:val="00605908"/>
    <w:rsid w:val="00607850"/>
    <w:rsid w:val="00607EF7"/>
    <w:rsid w:val="00610D7C"/>
    <w:rsid w:val="00613414"/>
    <w:rsid w:val="00620154"/>
    <w:rsid w:val="0062273D"/>
    <w:rsid w:val="0062408D"/>
    <w:rsid w:val="006240CC"/>
    <w:rsid w:val="00624940"/>
    <w:rsid w:val="00624FAD"/>
    <w:rsid w:val="006254F8"/>
    <w:rsid w:val="00627DA7"/>
    <w:rsid w:val="00630DA4"/>
    <w:rsid w:val="00631CD4"/>
    <w:rsid w:val="00632597"/>
    <w:rsid w:val="00634D13"/>
    <w:rsid w:val="006358B4"/>
    <w:rsid w:val="00637066"/>
    <w:rsid w:val="00641724"/>
    <w:rsid w:val="006419AA"/>
    <w:rsid w:val="00643674"/>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1E6"/>
    <w:rsid w:val="006812ED"/>
    <w:rsid w:val="00683878"/>
    <w:rsid w:val="00684380"/>
    <w:rsid w:val="0068454C"/>
    <w:rsid w:val="00691B62"/>
    <w:rsid w:val="006933B5"/>
    <w:rsid w:val="00693546"/>
    <w:rsid w:val="00693D14"/>
    <w:rsid w:val="00696F27"/>
    <w:rsid w:val="006A079F"/>
    <w:rsid w:val="006A18C2"/>
    <w:rsid w:val="006A3383"/>
    <w:rsid w:val="006B077C"/>
    <w:rsid w:val="006B0C81"/>
    <w:rsid w:val="006B6803"/>
    <w:rsid w:val="006C2B86"/>
    <w:rsid w:val="006D0F16"/>
    <w:rsid w:val="006D2A3F"/>
    <w:rsid w:val="006D2FBC"/>
    <w:rsid w:val="006D6E34"/>
    <w:rsid w:val="006E138B"/>
    <w:rsid w:val="006E1867"/>
    <w:rsid w:val="006E28C4"/>
    <w:rsid w:val="006E7B2F"/>
    <w:rsid w:val="006F0330"/>
    <w:rsid w:val="006F1FDC"/>
    <w:rsid w:val="006F3B88"/>
    <w:rsid w:val="006F4124"/>
    <w:rsid w:val="006F6B76"/>
    <w:rsid w:val="006F6B8C"/>
    <w:rsid w:val="007013EF"/>
    <w:rsid w:val="007055BD"/>
    <w:rsid w:val="007078A9"/>
    <w:rsid w:val="0071007F"/>
    <w:rsid w:val="007117F9"/>
    <w:rsid w:val="007173CA"/>
    <w:rsid w:val="007216AA"/>
    <w:rsid w:val="00721AB5"/>
    <w:rsid w:val="00721CFB"/>
    <w:rsid w:val="00721DEF"/>
    <w:rsid w:val="00724A43"/>
    <w:rsid w:val="007264A6"/>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54E8C"/>
    <w:rsid w:val="00763139"/>
    <w:rsid w:val="00763F3A"/>
    <w:rsid w:val="00765657"/>
    <w:rsid w:val="00770D22"/>
    <w:rsid w:val="00770F37"/>
    <w:rsid w:val="007711A0"/>
    <w:rsid w:val="00772D5E"/>
    <w:rsid w:val="0077463E"/>
    <w:rsid w:val="00775649"/>
    <w:rsid w:val="00776928"/>
    <w:rsid w:val="00776D56"/>
    <w:rsid w:val="00776E0F"/>
    <w:rsid w:val="007774B1"/>
    <w:rsid w:val="00777BE1"/>
    <w:rsid w:val="00781B84"/>
    <w:rsid w:val="00782222"/>
    <w:rsid w:val="007833D8"/>
    <w:rsid w:val="00785677"/>
    <w:rsid w:val="00786F16"/>
    <w:rsid w:val="00791BD7"/>
    <w:rsid w:val="007933F7"/>
    <w:rsid w:val="0079469F"/>
    <w:rsid w:val="00796E20"/>
    <w:rsid w:val="00797C32"/>
    <w:rsid w:val="007A11E8"/>
    <w:rsid w:val="007A7C24"/>
    <w:rsid w:val="007B0914"/>
    <w:rsid w:val="007B1374"/>
    <w:rsid w:val="007B32E5"/>
    <w:rsid w:val="007B3DB9"/>
    <w:rsid w:val="007B589F"/>
    <w:rsid w:val="007B6186"/>
    <w:rsid w:val="007B6C10"/>
    <w:rsid w:val="007B73BC"/>
    <w:rsid w:val="007B7B03"/>
    <w:rsid w:val="007C1838"/>
    <w:rsid w:val="007C20B9"/>
    <w:rsid w:val="007C67D6"/>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3828"/>
    <w:rsid w:val="007F546C"/>
    <w:rsid w:val="007F625F"/>
    <w:rsid w:val="007F665E"/>
    <w:rsid w:val="00800412"/>
    <w:rsid w:val="0080587B"/>
    <w:rsid w:val="00806468"/>
    <w:rsid w:val="008119CA"/>
    <w:rsid w:val="008130C4"/>
    <w:rsid w:val="0081472B"/>
    <w:rsid w:val="00814877"/>
    <w:rsid w:val="008155F0"/>
    <w:rsid w:val="00816735"/>
    <w:rsid w:val="00820141"/>
    <w:rsid w:val="00820E0C"/>
    <w:rsid w:val="0082104B"/>
    <w:rsid w:val="00823275"/>
    <w:rsid w:val="0082366F"/>
    <w:rsid w:val="00826A73"/>
    <w:rsid w:val="008270EC"/>
    <w:rsid w:val="00831B47"/>
    <w:rsid w:val="008338A2"/>
    <w:rsid w:val="008357B7"/>
    <w:rsid w:val="008400EF"/>
    <w:rsid w:val="00841AA9"/>
    <w:rsid w:val="008474FE"/>
    <w:rsid w:val="00853EE4"/>
    <w:rsid w:val="00855535"/>
    <w:rsid w:val="00857C5A"/>
    <w:rsid w:val="0086255E"/>
    <w:rsid w:val="00862BA5"/>
    <w:rsid w:val="008633F0"/>
    <w:rsid w:val="00867D9D"/>
    <w:rsid w:val="00872E0A"/>
    <w:rsid w:val="00873594"/>
    <w:rsid w:val="00875285"/>
    <w:rsid w:val="00884B62"/>
    <w:rsid w:val="0088529C"/>
    <w:rsid w:val="00887903"/>
    <w:rsid w:val="0089270A"/>
    <w:rsid w:val="00893AF6"/>
    <w:rsid w:val="00894BC4"/>
    <w:rsid w:val="00896171"/>
    <w:rsid w:val="00896890"/>
    <w:rsid w:val="008A28A8"/>
    <w:rsid w:val="008A5B32"/>
    <w:rsid w:val="008A74AF"/>
    <w:rsid w:val="008B2029"/>
    <w:rsid w:val="008B2EE4"/>
    <w:rsid w:val="008B3821"/>
    <w:rsid w:val="008B467B"/>
    <w:rsid w:val="008B4D3D"/>
    <w:rsid w:val="008B57C7"/>
    <w:rsid w:val="008C2F92"/>
    <w:rsid w:val="008C3546"/>
    <w:rsid w:val="008C589D"/>
    <w:rsid w:val="008C67E2"/>
    <w:rsid w:val="008C6D51"/>
    <w:rsid w:val="008C7A4D"/>
    <w:rsid w:val="008D2846"/>
    <w:rsid w:val="008D3AD6"/>
    <w:rsid w:val="008D4236"/>
    <w:rsid w:val="008D462F"/>
    <w:rsid w:val="008D567A"/>
    <w:rsid w:val="008D6DCF"/>
    <w:rsid w:val="008E3442"/>
    <w:rsid w:val="008E4376"/>
    <w:rsid w:val="008E7A0A"/>
    <w:rsid w:val="008E7B49"/>
    <w:rsid w:val="008F05B2"/>
    <w:rsid w:val="008F59F6"/>
    <w:rsid w:val="00900719"/>
    <w:rsid w:val="009017AC"/>
    <w:rsid w:val="00902A9A"/>
    <w:rsid w:val="00904A1C"/>
    <w:rsid w:val="00905030"/>
    <w:rsid w:val="00906490"/>
    <w:rsid w:val="009111B2"/>
    <w:rsid w:val="009111D0"/>
    <w:rsid w:val="009151F5"/>
    <w:rsid w:val="00924AE1"/>
    <w:rsid w:val="00924B57"/>
    <w:rsid w:val="00924C1A"/>
    <w:rsid w:val="009269B1"/>
    <w:rsid w:val="0092724D"/>
    <w:rsid w:val="009272B3"/>
    <w:rsid w:val="009315BE"/>
    <w:rsid w:val="009326DD"/>
    <w:rsid w:val="0093338F"/>
    <w:rsid w:val="00933E20"/>
    <w:rsid w:val="00937BD9"/>
    <w:rsid w:val="00940AEE"/>
    <w:rsid w:val="00950E29"/>
    <w:rsid w:val="00950E2C"/>
    <w:rsid w:val="00951D50"/>
    <w:rsid w:val="009525EB"/>
    <w:rsid w:val="0095470B"/>
    <w:rsid w:val="00954874"/>
    <w:rsid w:val="0095615A"/>
    <w:rsid w:val="009607AA"/>
    <w:rsid w:val="00961400"/>
    <w:rsid w:val="00963646"/>
    <w:rsid w:val="009637EC"/>
    <w:rsid w:val="009648F9"/>
    <w:rsid w:val="0096506F"/>
    <w:rsid w:val="0096632D"/>
    <w:rsid w:val="00967124"/>
    <w:rsid w:val="0097166C"/>
    <w:rsid w:val="009718C7"/>
    <w:rsid w:val="0097559F"/>
    <w:rsid w:val="009761EA"/>
    <w:rsid w:val="0097761E"/>
    <w:rsid w:val="00982454"/>
    <w:rsid w:val="00982CF0"/>
    <w:rsid w:val="00983E33"/>
    <w:rsid w:val="009853E1"/>
    <w:rsid w:val="00986DAD"/>
    <w:rsid w:val="00986E6B"/>
    <w:rsid w:val="00990032"/>
    <w:rsid w:val="00990B19"/>
    <w:rsid w:val="0099153B"/>
    <w:rsid w:val="00991769"/>
    <w:rsid w:val="0099232C"/>
    <w:rsid w:val="00994386"/>
    <w:rsid w:val="009A13D8"/>
    <w:rsid w:val="009A279E"/>
    <w:rsid w:val="009A2C3C"/>
    <w:rsid w:val="009A3015"/>
    <w:rsid w:val="009A3490"/>
    <w:rsid w:val="009A54FC"/>
    <w:rsid w:val="009B0A6F"/>
    <w:rsid w:val="009B0A94"/>
    <w:rsid w:val="009B0C62"/>
    <w:rsid w:val="009B2AE8"/>
    <w:rsid w:val="009B5622"/>
    <w:rsid w:val="009B59E9"/>
    <w:rsid w:val="009B70AA"/>
    <w:rsid w:val="009B7ED3"/>
    <w:rsid w:val="009C245E"/>
    <w:rsid w:val="009C5B0C"/>
    <w:rsid w:val="009C5E77"/>
    <w:rsid w:val="009C7A7E"/>
    <w:rsid w:val="009D02E8"/>
    <w:rsid w:val="009D22BA"/>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4FD9"/>
    <w:rsid w:val="009F6BCB"/>
    <w:rsid w:val="009F7B78"/>
    <w:rsid w:val="00A0057A"/>
    <w:rsid w:val="00A02FA1"/>
    <w:rsid w:val="00A04CCE"/>
    <w:rsid w:val="00A07421"/>
    <w:rsid w:val="00A0776B"/>
    <w:rsid w:val="00A10FB9"/>
    <w:rsid w:val="00A11421"/>
    <w:rsid w:val="00A1389F"/>
    <w:rsid w:val="00A157B1"/>
    <w:rsid w:val="00A1702C"/>
    <w:rsid w:val="00A22229"/>
    <w:rsid w:val="00A24442"/>
    <w:rsid w:val="00A2499F"/>
    <w:rsid w:val="00A24ADA"/>
    <w:rsid w:val="00A32577"/>
    <w:rsid w:val="00A330BB"/>
    <w:rsid w:val="00A446F5"/>
    <w:rsid w:val="00A44882"/>
    <w:rsid w:val="00A45125"/>
    <w:rsid w:val="00A526B9"/>
    <w:rsid w:val="00A54715"/>
    <w:rsid w:val="00A5471E"/>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A70DF"/>
    <w:rsid w:val="00AA7E8F"/>
    <w:rsid w:val="00AB06E8"/>
    <w:rsid w:val="00AB1CD3"/>
    <w:rsid w:val="00AB352F"/>
    <w:rsid w:val="00AB5FE4"/>
    <w:rsid w:val="00AC274B"/>
    <w:rsid w:val="00AC4764"/>
    <w:rsid w:val="00AC6D36"/>
    <w:rsid w:val="00AD0CBA"/>
    <w:rsid w:val="00AD0F13"/>
    <w:rsid w:val="00AD26E2"/>
    <w:rsid w:val="00AD784C"/>
    <w:rsid w:val="00AE126A"/>
    <w:rsid w:val="00AE1BAE"/>
    <w:rsid w:val="00AE3005"/>
    <w:rsid w:val="00AE3BD5"/>
    <w:rsid w:val="00AE59A0"/>
    <w:rsid w:val="00AF0C57"/>
    <w:rsid w:val="00AF1A4C"/>
    <w:rsid w:val="00AF26F3"/>
    <w:rsid w:val="00AF5F04"/>
    <w:rsid w:val="00AF7EF0"/>
    <w:rsid w:val="00B00672"/>
    <w:rsid w:val="00B01B4D"/>
    <w:rsid w:val="00B04489"/>
    <w:rsid w:val="00B04CDD"/>
    <w:rsid w:val="00B06571"/>
    <w:rsid w:val="00B068BA"/>
    <w:rsid w:val="00B07217"/>
    <w:rsid w:val="00B11F2E"/>
    <w:rsid w:val="00B13851"/>
    <w:rsid w:val="00B13B1C"/>
    <w:rsid w:val="00B14B5F"/>
    <w:rsid w:val="00B21F90"/>
    <w:rsid w:val="00B2210B"/>
    <w:rsid w:val="00B22291"/>
    <w:rsid w:val="00B23C89"/>
    <w:rsid w:val="00B23F9A"/>
    <w:rsid w:val="00B2417B"/>
    <w:rsid w:val="00B244FD"/>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0F35"/>
    <w:rsid w:val="00B62B50"/>
    <w:rsid w:val="00B635B7"/>
    <w:rsid w:val="00B63AE8"/>
    <w:rsid w:val="00B63E70"/>
    <w:rsid w:val="00B65950"/>
    <w:rsid w:val="00B66D83"/>
    <w:rsid w:val="00B672C0"/>
    <w:rsid w:val="00B676FD"/>
    <w:rsid w:val="00B678B6"/>
    <w:rsid w:val="00B72334"/>
    <w:rsid w:val="00B75646"/>
    <w:rsid w:val="00B7629E"/>
    <w:rsid w:val="00B83385"/>
    <w:rsid w:val="00B851FC"/>
    <w:rsid w:val="00B90729"/>
    <w:rsid w:val="00B907DA"/>
    <w:rsid w:val="00B94C5E"/>
    <w:rsid w:val="00B950BC"/>
    <w:rsid w:val="00B9714C"/>
    <w:rsid w:val="00BA29AD"/>
    <w:rsid w:val="00BA33CF"/>
    <w:rsid w:val="00BA3F8D"/>
    <w:rsid w:val="00BB365D"/>
    <w:rsid w:val="00BB401F"/>
    <w:rsid w:val="00BB4BBE"/>
    <w:rsid w:val="00BB7A10"/>
    <w:rsid w:val="00BC60BE"/>
    <w:rsid w:val="00BC7311"/>
    <w:rsid w:val="00BC7468"/>
    <w:rsid w:val="00BC7D4F"/>
    <w:rsid w:val="00BC7ED7"/>
    <w:rsid w:val="00BD2850"/>
    <w:rsid w:val="00BE28D2"/>
    <w:rsid w:val="00BE4A64"/>
    <w:rsid w:val="00BE565A"/>
    <w:rsid w:val="00BE5E43"/>
    <w:rsid w:val="00BF17DF"/>
    <w:rsid w:val="00BF2EAD"/>
    <w:rsid w:val="00BF557D"/>
    <w:rsid w:val="00BF658D"/>
    <w:rsid w:val="00BF7F58"/>
    <w:rsid w:val="00C01381"/>
    <w:rsid w:val="00C01AB1"/>
    <w:rsid w:val="00C026A0"/>
    <w:rsid w:val="00C02B03"/>
    <w:rsid w:val="00C06137"/>
    <w:rsid w:val="00C06929"/>
    <w:rsid w:val="00C079B8"/>
    <w:rsid w:val="00C10037"/>
    <w:rsid w:val="00C115E1"/>
    <w:rsid w:val="00C123EA"/>
    <w:rsid w:val="00C12A49"/>
    <w:rsid w:val="00C133EE"/>
    <w:rsid w:val="00C149D0"/>
    <w:rsid w:val="00C15D95"/>
    <w:rsid w:val="00C23F7C"/>
    <w:rsid w:val="00C24497"/>
    <w:rsid w:val="00C26588"/>
    <w:rsid w:val="00C27DE9"/>
    <w:rsid w:val="00C32989"/>
    <w:rsid w:val="00C33388"/>
    <w:rsid w:val="00C35484"/>
    <w:rsid w:val="00C4173A"/>
    <w:rsid w:val="00C50DED"/>
    <w:rsid w:val="00C52217"/>
    <w:rsid w:val="00C5559C"/>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93CB8"/>
    <w:rsid w:val="00CA12E3"/>
    <w:rsid w:val="00CA1476"/>
    <w:rsid w:val="00CA6611"/>
    <w:rsid w:val="00CA6AE6"/>
    <w:rsid w:val="00CA782F"/>
    <w:rsid w:val="00CB187B"/>
    <w:rsid w:val="00CB2835"/>
    <w:rsid w:val="00CB3285"/>
    <w:rsid w:val="00CB4500"/>
    <w:rsid w:val="00CB589B"/>
    <w:rsid w:val="00CB5EA8"/>
    <w:rsid w:val="00CC0C72"/>
    <w:rsid w:val="00CC1BBE"/>
    <w:rsid w:val="00CC26B4"/>
    <w:rsid w:val="00CC2BFD"/>
    <w:rsid w:val="00CC6F40"/>
    <w:rsid w:val="00CD019F"/>
    <w:rsid w:val="00CD3476"/>
    <w:rsid w:val="00CD64DF"/>
    <w:rsid w:val="00CE10F7"/>
    <w:rsid w:val="00CE19A2"/>
    <w:rsid w:val="00CE225F"/>
    <w:rsid w:val="00CF0376"/>
    <w:rsid w:val="00CF230C"/>
    <w:rsid w:val="00CF2380"/>
    <w:rsid w:val="00CF2F50"/>
    <w:rsid w:val="00CF3D49"/>
    <w:rsid w:val="00CF57DE"/>
    <w:rsid w:val="00CF6198"/>
    <w:rsid w:val="00D019A0"/>
    <w:rsid w:val="00D01D74"/>
    <w:rsid w:val="00D02919"/>
    <w:rsid w:val="00D04BA2"/>
    <w:rsid w:val="00D04C61"/>
    <w:rsid w:val="00D05B8D"/>
    <w:rsid w:val="00D05B9B"/>
    <w:rsid w:val="00D065A2"/>
    <w:rsid w:val="00D079AA"/>
    <w:rsid w:val="00D07F00"/>
    <w:rsid w:val="00D1130F"/>
    <w:rsid w:val="00D17311"/>
    <w:rsid w:val="00D17575"/>
    <w:rsid w:val="00D17B72"/>
    <w:rsid w:val="00D244AB"/>
    <w:rsid w:val="00D31675"/>
    <w:rsid w:val="00D316F6"/>
    <w:rsid w:val="00D3185C"/>
    <w:rsid w:val="00D3205F"/>
    <w:rsid w:val="00D3318E"/>
    <w:rsid w:val="00D33E72"/>
    <w:rsid w:val="00D35BD6"/>
    <w:rsid w:val="00D361B5"/>
    <w:rsid w:val="00D411A2"/>
    <w:rsid w:val="00D450FC"/>
    <w:rsid w:val="00D4606D"/>
    <w:rsid w:val="00D50B9C"/>
    <w:rsid w:val="00D513AF"/>
    <w:rsid w:val="00D52D73"/>
    <w:rsid w:val="00D52E58"/>
    <w:rsid w:val="00D56B20"/>
    <w:rsid w:val="00D578B3"/>
    <w:rsid w:val="00D57B3A"/>
    <w:rsid w:val="00D618F4"/>
    <w:rsid w:val="00D63636"/>
    <w:rsid w:val="00D714CC"/>
    <w:rsid w:val="00D740C1"/>
    <w:rsid w:val="00D75EA7"/>
    <w:rsid w:val="00D77252"/>
    <w:rsid w:val="00D77B40"/>
    <w:rsid w:val="00D81ADF"/>
    <w:rsid w:val="00D81F21"/>
    <w:rsid w:val="00D864F2"/>
    <w:rsid w:val="00D8787F"/>
    <w:rsid w:val="00D920E2"/>
    <w:rsid w:val="00D943F8"/>
    <w:rsid w:val="00D95470"/>
    <w:rsid w:val="00D96B55"/>
    <w:rsid w:val="00DA2619"/>
    <w:rsid w:val="00DA4239"/>
    <w:rsid w:val="00DA588C"/>
    <w:rsid w:val="00DA65DE"/>
    <w:rsid w:val="00DB0B61"/>
    <w:rsid w:val="00DB1474"/>
    <w:rsid w:val="00DB2962"/>
    <w:rsid w:val="00DB52FB"/>
    <w:rsid w:val="00DC00C1"/>
    <w:rsid w:val="00DC013B"/>
    <w:rsid w:val="00DC03E1"/>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4AE3"/>
    <w:rsid w:val="00DE511D"/>
    <w:rsid w:val="00DE6028"/>
    <w:rsid w:val="00DE6C85"/>
    <w:rsid w:val="00DE78A3"/>
    <w:rsid w:val="00DF1A71"/>
    <w:rsid w:val="00DF50FC"/>
    <w:rsid w:val="00DF68AC"/>
    <w:rsid w:val="00DF68C7"/>
    <w:rsid w:val="00DF731A"/>
    <w:rsid w:val="00E04BBB"/>
    <w:rsid w:val="00E064C6"/>
    <w:rsid w:val="00E06B75"/>
    <w:rsid w:val="00E11332"/>
    <w:rsid w:val="00E11352"/>
    <w:rsid w:val="00E1180A"/>
    <w:rsid w:val="00E170DC"/>
    <w:rsid w:val="00E17546"/>
    <w:rsid w:val="00E210B5"/>
    <w:rsid w:val="00E261B3"/>
    <w:rsid w:val="00E26818"/>
    <w:rsid w:val="00E27FFC"/>
    <w:rsid w:val="00E30B15"/>
    <w:rsid w:val="00E33237"/>
    <w:rsid w:val="00E3486B"/>
    <w:rsid w:val="00E40181"/>
    <w:rsid w:val="00E54950"/>
    <w:rsid w:val="00E55FB3"/>
    <w:rsid w:val="00E56A01"/>
    <w:rsid w:val="00E629A1"/>
    <w:rsid w:val="00E64AA6"/>
    <w:rsid w:val="00E6794C"/>
    <w:rsid w:val="00E713B1"/>
    <w:rsid w:val="00E71591"/>
    <w:rsid w:val="00E71CEB"/>
    <w:rsid w:val="00E7474F"/>
    <w:rsid w:val="00E80DE3"/>
    <w:rsid w:val="00E82C55"/>
    <w:rsid w:val="00E83868"/>
    <w:rsid w:val="00E8787E"/>
    <w:rsid w:val="00E92AC3"/>
    <w:rsid w:val="00E9496D"/>
    <w:rsid w:val="00E94DE6"/>
    <w:rsid w:val="00E96852"/>
    <w:rsid w:val="00E971DB"/>
    <w:rsid w:val="00EA19B2"/>
    <w:rsid w:val="00EA1BE5"/>
    <w:rsid w:val="00EA2F6A"/>
    <w:rsid w:val="00EA3CC7"/>
    <w:rsid w:val="00EA794A"/>
    <w:rsid w:val="00EB00E0"/>
    <w:rsid w:val="00EB05D5"/>
    <w:rsid w:val="00EB4BC7"/>
    <w:rsid w:val="00EC059F"/>
    <w:rsid w:val="00EC1F24"/>
    <w:rsid w:val="00EC22F6"/>
    <w:rsid w:val="00EC3DB9"/>
    <w:rsid w:val="00ED4F48"/>
    <w:rsid w:val="00ED5B9B"/>
    <w:rsid w:val="00ED6BAD"/>
    <w:rsid w:val="00ED7447"/>
    <w:rsid w:val="00ED7762"/>
    <w:rsid w:val="00EE00D6"/>
    <w:rsid w:val="00EE11E7"/>
    <w:rsid w:val="00EE1488"/>
    <w:rsid w:val="00EE1BDD"/>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0D1"/>
    <w:rsid w:val="00F16F1B"/>
    <w:rsid w:val="00F250A9"/>
    <w:rsid w:val="00F267AF"/>
    <w:rsid w:val="00F30FF4"/>
    <w:rsid w:val="00F3122E"/>
    <w:rsid w:val="00F32368"/>
    <w:rsid w:val="00F331AD"/>
    <w:rsid w:val="00F35287"/>
    <w:rsid w:val="00F36630"/>
    <w:rsid w:val="00F40A70"/>
    <w:rsid w:val="00F43A37"/>
    <w:rsid w:val="00F4641B"/>
    <w:rsid w:val="00F46EB8"/>
    <w:rsid w:val="00F50CD1"/>
    <w:rsid w:val="00F511E4"/>
    <w:rsid w:val="00F52D09"/>
    <w:rsid w:val="00F52E08"/>
    <w:rsid w:val="00F53A66"/>
    <w:rsid w:val="00F5462D"/>
    <w:rsid w:val="00F55B21"/>
    <w:rsid w:val="00F56EF6"/>
    <w:rsid w:val="00F571E2"/>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2C0B"/>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D5AC5"/>
    <w:rsid w:val="00FD7950"/>
    <w:rsid w:val="00FE2DCF"/>
    <w:rsid w:val="00FE3FA7"/>
    <w:rsid w:val="00FE4081"/>
    <w:rsid w:val="00FE5DE5"/>
    <w:rsid w:val="00FE7C98"/>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E04BBB"/>
    <w:pPr>
      <w:keepNext/>
      <w:keepLines/>
      <w:spacing w:before="360" w:after="120" w:line="34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E04BBB"/>
    <w:rPr>
      <w:rFonts w:ascii="Arial" w:eastAsia="MS Gothic" w:hAnsi="Arial"/>
      <w:bCs/>
      <w:color w:val="201547"/>
      <w:sz w:val="28"/>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link w:val="HeaderChar"/>
    <w:uiPriority w:val="10"/>
    <w:rsid w:val="0008170F"/>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7"/>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A1702C"/>
    <w:pPr>
      <w:numPr>
        <w:numId w:val="3"/>
      </w:numPr>
      <w:spacing w:before="60"/>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B23C89"/>
    <w:pPr>
      <w:spacing w:before="80" w:after="60"/>
    </w:pPr>
    <w:rPr>
      <w:rFonts w:ascii="Arial" w:hAnsi="Arial"/>
      <w:b/>
      <w:color w:val="FFFFFF" w:themeColor="background1"/>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7"/>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7"/>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CF230C"/>
    <w:rPr>
      <w:rFonts w:ascii="Arial" w:hAnsi="Arial" w:cs="Arial"/>
      <w:b/>
      <w:color w:val="201547"/>
      <w:sz w:val="18"/>
      <w:szCs w:val="18"/>
      <w:lang w:eastAsia="en-US"/>
    </w:rPr>
  </w:style>
  <w:style w:type="paragraph" w:customStyle="1" w:styleId="TOCheadingfactsheet">
    <w:name w:val="TOC heading fact sheet"/>
    <w:basedOn w:val="Heading2"/>
    <w:next w:val="Body"/>
    <w:link w:val="TOCheadingfactsheetChar"/>
    <w:uiPriority w:val="4"/>
    <w:rsid w:val="00950E29"/>
    <w:pPr>
      <w:spacing w:after="200" w:line="330" w:lineRule="atLeast"/>
      <w:outlineLvl w:val="9"/>
    </w:pPr>
    <w:rPr>
      <w:sz w:val="29"/>
    </w:rPr>
  </w:style>
  <w:style w:type="character" w:customStyle="1" w:styleId="TOCheadingfactsheetChar">
    <w:name w:val="TOC heading fact sheet Char"/>
    <w:link w:val="TOCheadingfactsheet"/>
    <w:uiPriority w:val="4"/>
    <w:rsid w:val="00950E29"/>
    <w:rPr>
      <w:rFonts w:ascii="Arial" w:hAnsi="Arial"/>
      <w:b/>
      <w:color w:val="201547"/>
      <w:sz w:val="29"/>
      <w:szCs w:val="28"/>
      <w:lang w:eastAsia="en-US"/>
    </w:rPr>
  </w:style>
  <w:style w:type="numbering" w:customStyle="1" w:styleId="EPABullets">
    <w:name w:val="EPA Bullets"/>
    <w:uiPriority w:val="99"/>
    <w:rsid w:val="00950E29"/>
    <w:pPr>
      <w:numPr>
        <w:numId w:val="8"/>
      </w:numPr>
    </w:pPr>
  </w:style>
  <w:style w:type="table" w:customStyle="1" w:styleId="TableStyle1">
    <w:name w:val="TableStyle1"/>
    <w:basedOn w:val="TableNormal"/>
    <w:uiPriority w:val="99"/>
    <w:rsid w:val="00950E29"/>
    <w:rPr>
      <w:rFonts w:asciiTheme="minorHAnsi" w:eastAsiaTheme="minorHAnsi" w:hAnsiTheme="minorHAnsi" w:cstheme="minorBidi"/>
      <w:lang w:eastAsia="en-US"/>
    </w:rPr>
    <w:tblPr>
      <w:tblBorders>
        <w:insideH w:val="dashSmallGap" w:sz="2" w:space="0" w:color="003F72"/>
        <w:insideV w:val="dashSmallGap" w:sz="2" w:space="0" w:color="003F72"/>
      </w:tblBorders>
    </w:tblPr>
    <w:tcPr>
      <w:vAlign w:val="center"/>
    </w:tcPr>
    <w:tblStylePr w:type="firstRow">
      <w:rPr>
        <w:rFonts w:ascii="Arial" w:hAnsi="Arial"/>
        <w:color w:val="FFFFFF" w:themeColor="background1"/>
        <w:spacing w:val="20"/>
      </w:rPr>
      <w:tblPr/>
      <w:tcPr>
        <w:tcBorders>
          <w:top w:val="single" w:sz="4" w:space="0" w:color="0083BE"/>
          <w:left w:val="single" w:sz="4" w:space="0" w:color="0083BE"/>
          <w:bottom w:val="single" w:sz="4" w:space="0" w:color="0083BE"/>
          <w:right w:val="single" w:sz="4" w:space="0" w:color="0083BE"/>
          <w:insideH w:val="nil"/>
          <w:insideV w:val="nil"/>
          <w:tl2br w:val="nil"/>
          <w:tr2bl w:val="nil"/>
        </w:tcBorders>
        <w:shd w:val="clear" w:color="003F72" w:fill="0083BE"/>
      </w:tcPr>
    </w:tblStylePr>
  </w:style>
  <w:style w:type="character" w:styleId="Emphasis">
    <w:name w:val="Emphasis"/>
    <w:basedOn w:val="DefaultParagraphFont"/>
    <w:uiPriority w:val="20"/>
    <w:rsid w:val="00950E29"/>
    <w:rPr>
      <w:i/>
      <w:iCs/>
    </w:rPr>
  </w:style>
  <w:style w:type="paragraph" w:styleId="ListParagraph">
    <w:name w:val="List Paragraph"/>
    <w:basedOn w:val="Normal"/>
    <w:uiPriority w:val="34"/>
    <w:qFormat/>
    <w:rsid w:val="00950E29"/>
    <w:pPr>
      <w:spacing w:after="160" w:line="259"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950E29"/>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950E29"/>
  </w:style>
  <w:style w:type="character" w:customStyle="1" w:styleId="eop">
    <w:name w:val="eop"/>
    <w:basedOn w:val="DefaultParagraphFont"/>
    <w:rsid w:val="00950E29"/>
  </w:style>
  <w:style w:type="paragraph" w:styleId="Caption">
    <w:name w:val="caption"/>
    <w:basedOn w:val="Normal"/>
    <w:next w:val="Normal"/>
    <w:uiPriority w:val="35"/>
    <w:unhideWhenUsed/>
    <w:qFormat/>
    <w:rsid w:val="00950E29"/>
    <w:pPr>
      <w:spacing w:after="200" w:line="240" w:lineRule="auto"/>
    </w:pPr>
    <w:rPr>
      <w:i/>
      <w:iCs/>
      <w:color w:val="1F497D" w:themeColor="text2"/>
      <w:sz w:val="18"/>
      <w:szCs w:val="18"/>
    </w:rPr>
  </w:style>
  <w:style w:type="paragraph" w:customStyle="1" w:styleId="Textboxbody">
    <w:name w:val="Text box body"/>
    <w:basedOn w:val="Body"/>
    <w:next w:val="Body"/>
    <w:uiPriority w:val="11"/>
    <w:rsid w:val="002F2641"/>
    <w:pPr>
      <w:pBdr>
        <w:top w:val="single" w:sz="12" w:space="1" w:color="0090DA"/>
        <w:left w:val="single" w:sz="12" w:space="3" w:color="0090DA"/>
        <w:bottom w:val="single" w:sz="12" w:space="1" w:color="0090DA"/>
        <w:right w:val="single" w:sz="12" w:space="3" w:color="0090DA"/>
      </w:pBdr>
      <w:spacing w:before="120"/>
    </w:pPr>
  </w:style>
  <w:style w:type="character" w:styleId="Mention">
    <w:name w:val="Mention"/>
    <w:basedOn w:val="DefaultParagraphFont"/>
    <w:uiPriority w:val="99"/>
    <w:unhideWhenUsed/>
    <w:rsid w:val="00950E29"/>
    <w:rPr>
      <w:color w:val="2B579A"/>
      <w:shd w:val="clear" w:color="auto" w:fill="E1DFDD"/>
    </w:rPr>
  </w:style>
  <w:style w:type="table" w:styleId="PlainTable2">
    <w:name w:val="Plain Table 2"/>
    <w:basedOn w:val="TableNormal"/>
    <w:uiPriority w:val="42"/>
    <w:rsid w:val="00924C1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HSRtable">
    <w:name w:val="HSR table"/>
    <w:basedOn w:val="TableNormal"/>
    <w:uiPriority w:val="99"/>
    <w:rsid w:val="00924C1A"/>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F2F2F2" w:themeFill="background1" w:themeFillShade="F2"/>
    </w:tcPr>
    <w:tblStylePr w:type="firstRow">
      <w:tblPr/>
      <w:tcPr>
        <w:tcBorders>
          <w:top w:val="single" w:sz="24" w:space="0" w:color="FFFFFF" w:themeColor="background1"/>
          <w:left w:val="nil"/>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l2br w:val="nil"/>
          <w:tr2bl w:val="nil"/>
        </w:tcBorders>
        <w:shd w:val="clear" w:color="auto" w:fill="201547"/>
      </w:tcPr>
    </w:tblStylePr>
    <w:tblStylePr w:type="firstCol">
      <w:tblPr/>
      <w:tcPr>
        <w:tcBorders>
          <w:top w:val="single" w:sz="24" w:space="0" w:color="FFFFFF" w:themeColor="background1"/>
          <w:left w:val="single" w:sz="24" w:space="0" w:color="0090DA"/>
          <w:bottom w:val="single" w:sz="24" w:space="0" w:color="FFFFFF" w:themeColor="background1"/>
          <w:right w:val="single" w:sz="24" w:space="0" w:color="FFFFFF" w:themeColor="background1"/>
          <w:insideH w:val="nil"/>
          <w:insideV w:val="nil"/>
          <w:tl2br w:val="nil"/>
          <w:tr2bl w:val="nil"/>
        </w:tcBorders>
        <w:shd w:val="clear" w:color="auto" w:fill="F2F2F2" w:themeFill="background1" w:themeFillShade="F2"/>
      </w:tcPr>
    </w:tblStylePr>
  </w:style>
  <w:style w:type="table" w:customStyle="1" w:styleId="HRS2table">
    <w:name w:val="HRS2 table"/>
    <w:basedOn w:val="TableNormal"/>
    <w:uiPriority w:val="99"/>
    <w:rsid w:val="00924C1A"/>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F2F2F2" w:themeFill="background1" w:themeFillShade="F2"/>
    </w:tcPr>
    <w:tblStylePr w:type="firstCol">
      <w:tblPr/>
      <w:tcPr>
        <w:tcBorders>
          <w:top w:val="nil"/>
          <w:left w:val="nil"/>
          <w:bottom w:val="nil"/>
          <w:right w:val="nil"/>
          <w:insideH w:val="nil"/>
          <w:insideV w:val="nil"/>
          <w:tl2br w:val="nil"/>
          <w:tr2bl w:val="nil"/>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sregulator@dffh.vic.gov.au"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microsoft.com/office/2007/relationships/hdphoto" Target="media/hdphoto2.wdp"/><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dffh.vic.gov.au/human-services-regulator"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microsoft.com/office/2007/relationships/hdphoto" Target="media/hdphoto1.wdp"/><Relationship Id="rId30" Type="http://schemas.openxmlformats.org/officeDocument/2006/relationships/image" Target="media/image11.pn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7394C74C2D4C4BBF09EB3DFA32E73A" ma:contentTypeVersion="17" ma:contentTypeDescription="Create a new document." ma:contentTypeScope="" ma:versionID="3913e64584fd48fe7e3c93ca4a3e36f9">
  <xsd:schema xmlns:xsd="http://www.w3.org/2001/XMLSchema" xmlns:xs="http://www.w3.org/2001/XMLSchema" xmlns:p="http://schemas.microsoft.com/office/2006/metadata/properties" xmlns:ns2="c520fbed-e792-47a6-88e7-e35740b06176" xmlns:ns3="5dc74ea8-e552-4672-9e93-7e886a7af213" xmlns:ns4="5ce0f2b5-5be5-4508-bce9-d7011ece0659" targetNamespace="http://schemas.microsoft.com/office/2006/metadata/properties" ma:root="true" ma:fieldsID="dab4b0c4a606cf943ab49e4477d05af4" ns2:_="" ns3:_="" ns4:_="">
    <xsd:import namespace="c520fbed-e792-47a6-88e7-e35740b06176"/>
    <xsd:import namespace="5dc74ea8-e552-4672-9e93-7e886a7af213"/>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Comments" minOccurs="0"/>
                <xsd:element ref="ns3:MediaLengthInSeconds"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0fbed-e792-47a6-88e7-e35740b0617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c74ea8-e552-4672-9e93-7e886a7af2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Comments" ma:index="19" nillable="true" ma:displayName="Comments" ma:format="Dropdown" ma:internalName="Comments">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66e7c54-9cd5-453d-a891-f90760712345}" ma:internalName="TaxCatchAll" ma:showField="CatchAllData" ma:web="c520fbed-e792-47a6-88e7-e35740b061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5dc74ea8-e552-4672-9e93-7e886a7af213" xsi:nil="true"/>
    <TaxCatchAll xmlns="5ce0f2b5-5be5-4508-bce9-d7011ece0659" xsi:nil="true"/>
    <lcf76f155ced4ddcb4097134ff3c332f xmlns="5dc74ea8-e552-4672-9e93-7e886a7af2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58FE6-509D-4D0F-8311-C8A8800A5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0fbed-e792-47a6-88e7-e35740b06176"/>
    <ds:schemaRef ds:uri="5dc74ea8-e552-4672-9e93-7e886a7af213"/>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dc74ea8-e552-4672-9e93-7e886a7af213"/>
    <ds:schemaRef ds:uri="5ce0f2b5-5be5-4508-bce9-d7011ece0659"/>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5338</Words>
  <Characters>30427</Characters>
  <Application>Microsoft Office Word</Application>
  <DocSecurity>0</DocSecurity>
  <Lines>253</Lines>
  <Paragraphs>71</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Human Services Regulator compliance and enforcement policy</vt:lpstr>
      <vt:lpstr>Purpose</vt:lpstr>
      <vt:lpstr>Scope</vt:lpstr>
      <vt:lpstr>Role statement</vt:lpstr>
      <vt:lpstr>1. Who we are</vt:lpstr>
      <vt:lpstr>    Scope of our regulatory portfolio</vt:lpstr>
      <vt:lpstr>        The HSR regulates a range of duty holders</vt:lpstr>
      <vt:lpstr>        Regulatory principles and approach</vt:lpstr>
      <vt:lpstr>        The HSR works with regulatory and departmental peers</vt:lpstr>
      <vt:lpstr>    Our expectation of duty holders</vt:lpstr>
      <vt:lpstr>2. Our regulatory toolkit</vt:lpstr>
      <vt:lpstr>3. Compliance monitoring and response to non-compliance</vt:lpstr>
      <vt:lpstr>    The HSR’s regulatory response to non-compliance</vt:lpstr>
      <vt:lpstr>        How the HSR assesses risk</vt:lpstr>
      <vt:lpstr>        How the HSR considers duty holder behaviour and attitude to compliance</vt:lpstr>
      <vt:lpstr>        The HSR’s proportionate response </vt:lpstr>
      <vt:lpstr>4. Reviews and appeals</vt:lpstr>
      <vt:lpstr>Appendix A: Regulatory toolkit</vt:lpstr>
      <vt:lpstr>    Registration</vt:lpstr>
      <vt:lpstr>        Practical application example</vt:lpstr>
      <vt:lpstr>    Information gathering and ongoing compliance monitoring</vt:lpstr>
      <vt:lpstr>        Practical application example</vt:lpstr>
      <vt:lpstr>    Remedial actions</vt:lpstr>
      <vt:lpstr>        The most commonly used remedial actions</vt:lpstr>
      <vt:lpstr>    Collaborative peer regulation</vt:lpstr>
      <vt:lpstr>        Practical application examples</vt:lpstr>
      <vt:lpstr>    Imposition of sanctions</vt:lpstr>
      <vt:lpstr>        Practical application examples</vt:lpstr>
      <vt:lpstr>Appendix B: Image descriptions</vt:lpstr>
      <vt:lpstr>    Compliance activities emphasis</vt:lpstr>
      <vt:lpstr>    Risk analysis matrix</vt:lpstr>
    </vt:vector>
  </TitlesOfParts>
  <Manager/>
  <Company>Victoria State Government, Department of Families, Fairness and Housing</Company>
  <LinksUpToDate>false</LinksUpToDate>
  <CharactersWithSpaces>35694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Services Regulator compliance and enforcement policy</dc:title>
  <dc:subject>Human Services Regulator compliance and enforcement policy</dc:subject>
  <dc:creator>Human Services Regulator</dc:creator>
  <cp:keywords>human services; providers; compliance; enforcement; policy; HSR</cp:keywords>
  <dc:description/>
  <cp:lastModifiedBy>Pavel Ananikyan</cp:lastModifiedBy>
  <cp:revision>5</cp:revision>
  <cp:lastPrinted>2021-01-29T05:27:00Z</cp:lastPrinted>
  <dcterms:created xsi:type="dcterms:W3CDTF">2023-01-18T00:41:00Z</dcterms:created>
  <dcterms:modified xsi:type="dcterms:W3CDTF">2023-01-19T04:24:00Z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0x010100027394C74C2D4C4BBF09EB3DFA32E73A</vt:lpwstr>
  </property>
  <property fmtid="{D5CDD505-2E9C-101B-9397-08002B2CF9AE}" pid="4" name="version">
    <vt:lpwstr>v5 16032021 sbv1 17062021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2023-01-05T00:31:05Z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5fed6dab-884b-4642-b62c-4407beda83a1</vt:lpwstr>
  </property>
  <property fmtid="{D5CDD505-2E9C-101B-9397-08002B2CF9AE}" pid="12" name="MSIP_Label_43e64453-338c-4f93-8a4d-0039a0a41f2a_ContentBits">
    <vt:lpwstr>2</vt:lpwstr>
  </property>
</Properties>
</file>