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B500" w14:textId="3DB24A84" w:rsidR="00056EC4" w:rsidRDefault="000C6DCE" w:rsidP="00056EC4">
      <w:pPr>
        <w:pStyle w:val="Body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7BE18DAE" wp14:editId="425E2FA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3175" b="0"/>
            <wp:wrapNone/>
            <wp:docPr id="2" name="Picture 2" descr="Victoria State Government Families, Fairness and Hou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Victoria State Government Families, Fairness and Hous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63"/>
      </w:tblGrid>
      <w:tr w:rsidR="00AD784C" w14:paraId="18FF4B0B" w14:textId="77777777" w:rsidTr="000C6DCE">
        <w:trPr>
          <w:cantSplit/>
        </w:trPr>
        <w:tc>
          <w:tcPr>
            <w:tcW w:w="6663" w:type="dxa"/>
            <w:tcMar>
              <w:top w:w="0" w:type="dxa"/>
              <w:left w:w="0" w:type="dxa"/>
              <w:right w:w="0" w:type="dxa"/>
            </w:tcMar>
          </w:tcPr>
          <w:p w14:paraId="30E6956D" w14:textId="4B2DA8CB" w:rsidR="00AD784C" w:rsidRPr="00431F42" w:rsidRDefault="004B7782" w:rsidP="00431F42">
            <w:pPr>
              <w:pStyle w:val="Documenttitle"/>
            </w:pPr>
            <w:r>
              <w:t>Human Services Regulator annual regulatory plan</w:t>
            </w:r>
          </w:p>
        </w:tc>
      </w:tr>
      <w:tr w:rsidR="00AD784C" w14:paraId="246F9CB0" w14:textId="77777777" w:rsidTr="000C6DCE">
        <w:trPr>
          <w:cantSplit/>
        </w:trPr>
        <w:tc>
          <w:tcPr>
            <w:tcW w:w="6663" w:type="dxa"/>
          </w:tcPr>
          <w:p w14:paraId="14EEB3AC" w14:textId="49EF67E0" w:rsidR="00386109" w:rsidRPr="00A1389F" w:rsidRDefault="00E108A4" w:rsidP="009315BE">
            <w:pPr>
              <w:pStyle w:val="Documentsubtitle"/>
            </w:pPr>
            <w:r>
              <w:t>202</w:t>
            </w:r>
            <w:r w:rsidR="005C26E2">
              <w:t>3</w:t>
            </w:r>
            <w:r w:rsidR="004275A9">
              <w:t>-2</w:t>
            </w:r>
            <w:r w:rsidR="005C26E2">
              <w:t>4</w:t>
            </w:r>
          </w:p>
        </w:tc>
      </w:tr>
      <w:tr w:rsidR="00430393" w14:paraId="2AE57792" w14:textId="77777777" w:rsidTr="000C6DCE">
        <w:trPr>
          <w:cantSplit/>
        </w:trPr>
        <w:tc>
          <w:tcPr>
            <w:tcW w:w="6663" w:type="dxa"/>
          </w:tcPr>
          <w:p w14:paraId="68DABF30" w14:textId="77777777" w:rsidR="00430393" w:rsidRDefault="00D802F4" w:rsidP="00430393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1A6272">
              <w:t>OFFICIAL</w:t>
            </w:r>
            <w:r>
              <w:fldChar w:fldCharType="end"/>
            </w:r>
          </w:p>
        </w:tc>
      </w:tr>
    </w:tbl>
    <w:p w14:paraId="36665FAE" w14:textId="77777777" w:rsidR="00FE4081" w:rsidRDefault="00FE4081" w:rsidP="00FE4081">
      <w:pPr>
        <w:pStyle w:val="Body"/>
      </w:pPr>
    </w:p>
    <w:p w14:paraId="3B4B7FED" w14:textId="5A778641" w:rsidR="00FE4081" w:rsidRPr="00FE4081" w:rsidRDefault="00FE4081" w:rsidP="00FE4081">
      <w:pPr>
        <w:pStyle w:val="Body"/>
        <w:sectPr w:rsidR="00FE4081" w:rsidRPr="00FE4081" w:rsidSect="00172ED0">
          <w:footerReference w:type="even" r:id="rId12"/>
          <w:footerReference w:type="default" r:id="rId13"/>
          <w:footerReference w:type="first" r:id="rId14"/>
          <w:type w:val="continuous"/>
          <w:pgSz w:w="11906" w:h="16838" w:code="9"/>
          <w:pgMar w:top="3969" w:right="1304" w:bottom="1418" w:left="1304" w:header="680" w:footer="851" w:gutter="0"/>
          <w:cols w:space="340"/>
          <w:titlePg/>
          <w:docGrid w:linePitch="360"/>
        </w:sectPr>
      </w:pPr>
    </w:p>
    <w:p w14:paraId="6188E75C" w14:textId="77777777" w:rsidR="004B7782" w:rsidRDefault="004B7782" w:rsidP="004B7782">
      <w:pPr>
        <w:pStyle w:val="Accessibilitypara"/>
      </w:pPr>
      <w:r>
        <w:lastRenderedPageBreak/>
        <w:t xml:space="preserve">To receive this document in another format, </w:t>
      </w:r>
      <w:hyperlink r:id="rId15" w:history="1">
        <w:r w:rsidRPr="00B72334">
          <w:rPr>
            <w:rStyle w:val="Hyperlink"/>
          </w:rPr>
          <w:t xml:space="preserve">email the Human Services Regulator </w:t>
        </w:r>
      </w:hyperlink>
      <w:r>
        <w:t>&lt;hsregulator@dffh.vic.gov.au&gt;.</w:t>
      </w:r>
    </w:p>
    <w:p w14:paraId="5C2099CC" w14:textId="77777777" w:rsidR="004B7782" w:rsidRDefault="004B7782" w:rsidP="000B3043">
      <w:pPr>
        <w:pStyle w:val="Imprint"/>
      </w:pPr>
      <w:r>
        <w:t>Authorised and published by the Victorian Government, 1 Treasury Place, Melbourne.</w:t>
      </w:r>
    </w:p>
    <w:p w14:paraId="69B91E18" w14:textId="29CD5031" w:rsidR="004B7782" w:rsidRDefault="004B7782" w:rsidP="000B3043">
      <w:pPr>
        <w:pStyle w:val="Imprint"/>
      </w:pPr>
      <w:r>
        <w:t>© State of Victoria, Australia, Department of Families, Fairness and Housin</w:t>
      </w:r>
      <w:r w:rsidRPr="005B275B">
        <w:t xml:space="preserve">g, </w:t>
      </w:r>
      <w:r w:rsidR="00B9709E">
        <w:t>January</w:t>
      </w:r>
      <w:r w:rsidRPr="000D518A">
        <w:t xml:space="preserve"> 202</w:t>
      </w:r>
      <w:r w:rsidR="00B9709E">
        <w:t>4</w:t>
      </w:r>
      <w:r w:rsidR="000D518A">
        <w:t>.</w:t>
      </w:r>
    </w:p>
    <w:p w14:paraId="3F4397BF" w14:textId="18C26895" w:rsidR="00C10699" w:rsidRDefault="00C10699" w:rsidP="000B3043">
      <w:pPr>
        <w:pStyle w:val="Imprint"/>
      </w:pPr>
      <w:r w:rsidRPr="00C10699">
        <w:t xml:space="preserve">In this document, ‘Aboriginal’ refers to both Aboriginal and Torres Strait Islander people. ‘Indigenous’ or ‘Koori/Koorie’ is retained when part of the title of a report, </w:t>
      </w:r>
      <w:proofErr w:type="gramStart"/>
      <w:r w:rsidRPr="00C10699">
        <w:t>program</w:t>
      </w:r>
      <w:proofErr w:type="gramEnd"/>
      <w:r w:rsidRPr="00C10699">
        <w:t xml:space="preserve"> or quotation.</w:t>
      </w:r>
    </w:p>
    <w:p w14:paraId="7DC469A3" w14:textId="3430629B" w:rsidR="004B7782" w:rsidRDefault="004B7782" w:rsidP="000B3043">
      <w:pPr>
        <w:pStyle w:val="Imprint"/>
      </w:pPr>
      <w:r w:rsidRPr="00B72334">
        <w:t xml:space="preserve">ISBN </w:t>
      </w:r>
      <w:r w:rsidR="000656EA" w:rsidRPr="000656EA">
        <w:t xml:space="preserve">978-1-76130-452-1 </w:t>
      </w:r>
      <w:r w:rsidRPr="00B72334">
        <w:t xml:space="preserve">(pdf/online/MS word) </w:t>
      </w:r>
    </w:p>
    <w:p w14:paraId="3CBE0AB3" w14:textId="73159A22" w:rsidR="004A279A" w:rsidRDefault="004B7782" w:rsidP="004B7782">
      <w:pPr>
        <w:pStyle w:val="Imprint"/>
      </w:pPr>
      <w:r>
        <w:t xml:space="preserve">Available at </w:t>
      </w:r>
      <w:hyperlink r:id="rId16" w:history="1">
        <w:r>
          <w:rPr>
            <w:rStyle w:val="Hyperlink"/>
          </w:rPr>
          <w:t>our website's Human Services Regulator page</w:t>
        </w:r>
      </w:hyperlink>
      <w:r>
        <w:t xml:space="preserve"> &lt;</w:t>
      </w:r>
      <w:r w:rsidRPr="00C24497">
        <w:t>https://www.d</w:t>
      </w:r>
      <w:r>
        <w:t>ffh</w:t>
      </w:r>
      <w:r w:rsidRPr="00C24497">
        <w:t>.vic.gov.au/human-services-regulator</w:t>
      </w:r>
      <w:r>
        <w:t>&gt;</w:t>
      </w:r>
    </w:p>
    <w:p w14:paraId="0A182FBD" w14:textId="3F0AFD02" w:rsidR="0008204A" w:rsidRPr="0008204A" w:rsidRDefault="0008204A" w:rsidP="004A279A">
      <w:pPr>
        <w:pStyle w:val="Body"/>
      </w:pPr>
      <w:r w:rsidRPr="0008204A">
        <w:br w:type="page"/>
      </w:r>
    </w:p>
    <w:p w14:paraId="4028DB6E" w14:textId="0B4EE14E" w:rsidR="00AD784C" w:rsidRPr="00B57329" w:rsidRDefault="00AD784C" w:rsidP="002365B4">
      <w:pPr>
        <w:pStyle w:val="TOCheadingreport"/>
      </w:pPr>
      <w:r w:rsidRPr="00B57329">
        <w:lastRenderedPageBreak/>
        <w:t>Contents</w:t>
      </w:r>
    </w:p>
    <w:p w14:paraId="5A4A7FEF" w14:textId="2CA48A10" w:rsidR="00572B9D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40491205" w:history="1">
        <w:r w:rsidR="00572B9D" w:rsidRPr="000F6C23">
          <w:rPr>
            <w:rStyle w:val="Hyperlink"/>
          </w:rPr>
          <w:t>Foreword</w:t>
        </w:r>
        <w:r w:rsidR="00572B9D">
          <w:rPr>
            <w:webHidden/>
          </w:rPr>
          <w:tab/>
        </w:r>
        <w:r w:rsidR="00572B9D">
          <w:rPr>
            <w:webHidden/>
          </w:rPr>
          <w:fldChar w:fldCharType="begin"/>
        </w:r>
        <w:r w:rsidR="00572B9D">
          <w:rPr>
            <w:webHidden/>
          </w:rPr>
          <w:instrText xml:space="preserve"> PAGEREF _Toc140491205 \h </w:instrText>
        </w:r>
        <w:r w:rsidR="00572B9D">
          <w:rPr>
            <w:webHidden/>
          </w:rPr>
        </w:r>
        <w:r w:rsidR="00572B9D">
          <w:rPr>
            <w:webHidden/>
          </w:rPr>
          <w:fldChar w:fldCharType="separate"/>
        </w:r>
        <w:r w:rsidR="00013552">
          <w:rPr>
            <w:webHidden/>
          </w:rPr>
          <w:t>4</w:t>
        </w:r>
        <w:r w:rsidR="00572B9D">
          <w:rPr>
            <w:webHidden/>
          </w:rPr>
          <w:fldChar w:fldCharType="end"/>
        </w:r>
      </w:hyperlink>
    </w:p>
    <w:p w14:paraId="771ADAC6" w14:textId="751F7ADF" w:rsidR="00572B9D" w:rsidRDefault="00D802F4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40491206" w:history="1">
        <w:r w:rsidR="00572B9D" w:rsidRPr="000F6C23">
          <w:rPr>
            <w:rStyle w:val="Hyperlink"/>
          </w:rPr>
          <w:t>Purpose of this document</w:t>
        </w:r>
        <w:r w:rsidR="00572B9D">
          <w:rPr>
            <w:webHidden/>
          </w:rPr>
          <w:tab/>
        </w:r>
        <w:r w:rsidR="00572B9D">
          <w:rPr>
            <w:webHidden/>
          </w:rPr>
          <w:fldChar w:fldCharType="begin"/>
        </w:r>
        <w:r w:rsidR="00572B9D">
          <w:rPr>
            <w:webHidden/>
          </w:rPr>
          <w:instrText xml:space="preserve"> PAGEREF _Toc140491206 \h </w:instrText>
        </w:r>
        <w:r w:rsidR="00572B9D">
          <w:rPr>
            <w:webHidden/>
          </w:rPr>
        </w:r>
        <w:r w:rsidR="00572B9D">
          <w:rPr>
            <w:webHidden/>
          </w:rPr>
          <w:fldChar w:fldCharType="separate"/>
        </w:r>
        <w:r w:rsidR="00013552">
          <w:rPr>
            <w:webHidden/>
          </w:rPr>
          <w:t>5</w:t>
        </w:r>
        <w:r w:rsidR="00572B9D">
          <w:rPr>
            <w:webHidden/>
          </w:rPr>
          <w:fldChar w:fldCharType="end"/>
        </w:r>
      </w:hyperlink>
    </w:p>
    <w:p w14:paraId="5C47CDCC" w14:textId="1366C927" w:rsidR="00572B9D" w:rsidRDefault="00D802F4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40491207" w:history="1">
        <w:r w:rsidR="00572B9D" w:rsidRPr="000F6C23">
          <w:rPr>
            <w:rStyle w:val="Hyperlink"/>
          </w:rPr>
          <w:t>Role</w:t>
        </w:r>
        <w:r w:rsidR="00572B9D">
          <w:rPr>
            <w:webHidden/>
          </w:rPr>
          <w:tab/>
        </w:r>
        <w:r w:rsidR="00572B9D">
          <w:rPr>
            <w:webHidden/>
          </w:rPr>
          <w:fldChar w:fldCharType="begin"/>
        </w:r>
        <w:r w:rsidR="00572B9D">
          <w:rPr>
            <w:webHidden/>
          </w:rPr>
          <w:instrText xml:space="preserve"> PAGEREF _Toc140491207 \h </w:instrText>
        </w:r>
        <w:r w:rsidR="00572B9D">
          <w:rPr>
            <w:webHidden/>
          </w:rPr>
        </w:r>
        <w:r w:rsidR="00572B9D">
          <w:rPr>
            <w:webHidden/>
          </w:rPr>
          <w:fldChar w:fldCharType="separate"/>
        </w:r>
        <w:r w:rsidR="00013552">
          <w:rPr>
            <w:webHidden/>
          </w:rPr>
          <w:t>6</w:t>
        </w:r>
        <w:r w:rsidR="00572B9D">
          <w:rPr>
            <w:webHidden/>
          </w:rPr>
          <w:fldChar w:fldCharType="end"/>
        </w:r>
      </w:hyperlink>
    </w:p>
    <w:p w14:paraId="49AEEC4B" w14:textId="482C69A3" w:rsidR="00572B9D" w:rsidRDefault="00D802F4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40491208" w:history="1">
        <w:r w:rsidR="00572B9D" w:rsidRPr="000F6C23">
          <w:rPr>
            <w:rStyle w:val="Hyperlink"/>
          </w:rPr>
          <w:t>Our regulatory focus for 2023–24</w:t>
        </w:r>
        <w:r w:rsidR="00572B9D">
          <w:rPr>
            <w:webHidden/>
          </w:rPr>
          <w:tab/>
        </w:r>
        <w:r w:rsidR="00572B9D">
          <w:rPr>
            <w:webHidden/>
          </w:rPr>
          <w:fldChar w:fldCharType="begin"/>
        </w:r>
        <w:r w:rsidR="00572B9D">
          <w:rPr>
            <w:webHidden/>
          </w:rPr>
          <w:instrText xml:space="preserve"> PAGEREF _Toc140491208 \h </w:instrText>
        </w:r>
        <w:r w:rsidR="00572B9D">
          <w:rPr>
            <w:webHidden/>
          </w:rPr>
        </w:r>
        <w:r w:rsidR="00572B9D">
          <w:rPr>
            <w:webHidden/>
          </w:rPr>
          <w:fldChar w:fldCharType="separate"/>
        </w:r>
        <w:r w:rsidR="00013552">
          <w:rPr>
            <w:webHidden/>
          </w:rPr>
          <w:t>7</w:t>
        </w:r>
        <w:r w:rsidR="00572B9D">
          <w:rPr>
            <w:webHidden/>
          </w:rPr>
          <w:fldChar w:fldCharType="end"/>
        </w:r>
      </w:hyperlink>
    </w:p>
    <w:p w14:paraId="56ABC346" w14:textId="4BDA8302" w:rsidR="00572B9D" w:rsidRDefault="00D802F4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0491209" w:history="1">
        <w:r w:rsidR="00572B9D" w:rsidRPr="000F6C23">
          <w:rPr>
            <w:rStyle w:val="Hyperlink"/>
          </w:rPr>
          <w:t>Target high-risk individuals</w:t>
        </w:r>
        <w:r w:rsidR="00572B9D">
          <w:rPr>
            <w:webHidden/>
          </w:rPr>
          <w:tab/>
        </w:r>
        <w:r w:rsidR="00572B9D">
          <w:rPr>
            <w:webHidden/>
          </w:rPr>
          <w:fldChar w:fldCharType="begin"/>
        </w:r>
        <w:r w:rsidR="00572B9D">
          <w:rPr>
            <w:webHidden/>
          </w:rPr>
          <w:instrText xml:space="preserve"> PAGEREF _Toc140491209 \h </w:instrText>
        </w:r>
        <w:r w:rsidR="00572B9D">
          <w:rPr>
            <w:webHidden/>
          </w:rPr>
        </w:r>
        <w:r w:rsidR="00572B9D">
          <w:rPr>
            <w:webHidden/>
          </w:rPr>
          <w:fldChar w:fldCharType="separate"/>
        </w:r>
        <w:r w:rsidR="00013552">
          <w:rPr>
            <w:webHidden/>
          </w:rPr>
          <w:t>7</w:t>
        </w:r>
        <w:r w:rsidR="00572B9D">
          <w:rPr>
            <w:webHidden/>
          </w:rPr>
          <w:fldChar w:fldCharType="end"/>
        </w:r>
      </w:hyperlink>
    </w:p>
    <w:p w14:paraId="166F3FF4" w14:textId="001D3DA1" w:rsidR="00572B9D" w:rsidRDefault="00D802F4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0491210" w:history="1">
        <w:r w:rsidR="00572B9D" w:rsidRPr="000F6C23">
          <w:rPr>
            <w:rStyle w:val="Hyperlink"/>
          </w:rPr>
          <w:t>Governance and Management</w:t>
        </w:r>
        <w:r w:rsidR="00572B9D">
          <w:rPr>
            <w:webHidden/>
          </w:rPr>
          <w:tab/>
        </w:r>
        <w:r w:rsidR="00572B9D">
          <w:rPr>
            <w:webHidden/>
          </w:rPr>
          <w:fldChar w:fldCharType="begin"/>
        </w:r>
        <w:r w:rsidR="00572B9D">
          <w:rPr>
            <w:webHidden/>
          </w:rPr>
          <w:instrText xml:space="preserve"> PAGEREF _Toc140491210 \h </w:instrText>
        </w:r>
        <w:r w:rsidR="00572B9D">
          <w:rPr>
            <w:webHidden/>
          </w:rPr>
        </w:r>
        <w:r w:rsidR="00572B9D">
          <w:rPr>
            <w:webHidden/>
          </w:rPr>
          <w:fldChar w:fldCharType="separate"/>
        </w:r>
        <w:r w:rsidR="00013552">
          <w:rPr>
            <w:webHidden/>
          </w:rPr>
          <w:t>8</w:t>
        </w:r>
        <w:r w:rsidR="00572B9D">
          <w:rPr>
            <w:webHidden/>
          </w:rPr>
          <w:fldChar w:fldCharType="end"/>
        </w:r>
      </w:hyperlink>
    </w:p>
    <w:p w14:paraId="44F54038" w14:textId="1E192A75" w:rsidR="00572B9D" w:rsidRDefault="00D802F4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0491211" w:history="1">
        <w:r w:rsidR="00572B9D" w:rsidRPr="000F6C23">
          <w:rPr>
            <w:rStyle w:val="Hyperlink"/>
          </w:rPr>
          <w:t xml:space="preserve">Improve collaboration </w:t>
        </w:r>
        <w:r w:rsidR="00572B9D">
          <w:rPr>
            <w:webHidden/>
          </w:rPr>
          <w:tab/>
        </w:r>
        <w:r w:rsidR="00572B9D">
          <w:rPr>
            <w:webHidden/>
          </w:rPr>
          <w:fldChar w:fldCharType="begin"/>
        </w:r>
        <w:r w:rsidR="00572B9D">
          <w:rPr>
            <w:webHidden/>
          </w:rPr>
          <w:instrText xml:space="preserve"> PAGEREF _Toc140491211 \h </w:instrText>
        </w:r>
        <w:r w:rsidR="00572B9D">
          <w:rPr>
            <w:webHidden/>
          </w:rPr>
        </w:r>
        <w:r w:rsidR="00572B9D">
          <w:rPr>
            <w:webHidden/>
          </w:rPr>
          <w:fldChar w:fldCharType="separate"/>
        </w:r>
        <w:r w:rsidR="00013552">
          <w:rPr>
            <w:webHidden/>
          </w:rPr>
          <w:t>9</w:t>
        </w:r>
        <w:r w:rsidR="00572B9D">
          <w:rPr>
            <w:webHidden/>
          </w:rPr>
          <w:fldChar w:fldCharType="end"/>
        </w:r>
      </w:hyperlink>
    </w:p>
    <w:p w14:paraId="0FAD7040" w14:textId="02C71D67" w:rsidR="00572B9D" w:rsidRDefault="00D802F4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0491212" w:history="1">
        <w:r w:rsidR="00572B9D" w:rsidRPr="000F6C23">
          <w:rPr>
            <w:rStyle w:val="Hyperlink"/>
          </w:rPr>
          <w:t>Manage and prepare for change</w:t>
        </w:r>
        <w:r w:rsidR="00572B9D">
          <w:rPr>
            <w:webHidden/>
          </w:rPr>
          <w:tab/>
        </w:r>
        <w:r w:rsidR="00572B9D">
          <w:rPr>
            <w:webHidden/>
          </w:rPr>
          <w:fldChar w:fldCharType="begin"/>
        </w:r>
        <w:r w:rsidR="00572B9D">
          <w:rPr>
            <w:webHidden/>
          </w:rPr>
          <w:instrText xml:space="preserve"> PAGEREF _Toc140491212 \h </w:instrText>
        </w:r>
        <w:r w:rsidR="00572B9D">
          <w:rPr>
            <w:webHidden/>
          </w:rPr>
        </w:r>
        <w:r w:rsidR="00572B9D">
          <w:rPr>
            <w:webHidden/>
          </w:rPr>
          <w:fldChar w:fldCharType="separate"/>
        </w:r>
        <w:r w:rsidR="00013552">
          <w:rPr>
            <w:webHidden/>
          </w:rPr>
          <w:t>10</w:t>
        </w:r>
        <w:r w:rsidR="00572B9D">
          <w:rPr>
            <w:webHidden/>
          </w:rPr>
          <w:fldChar w:fldCharType="end"/>
        </w:r>
      </w:hyperlink>
    </w:p>
    <w:p w14:paraId="0BB7FACE" w14:textId="75B06527" w:rsidR="00572B9D" w:rsidRDefault="00D802F4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0491213" w:history="1">
        <w:r w:rsidR="00572B9D" w:rsidRPr="000F6C23">
          <w:rPr>
            <w:rStyle w:val="Hyperlink"/>
          </w:rPr>
          <w:t>Build our capability</w:t>
        </w:r>
        <w:r w:rsidR="00572B9D">
          <w:rPr>
            <w:webHidden/>
          </w:rPr>
          <w:tab/>
        </w:r>
        <w:r w:rsidR="00572B9D">
          <w:rPr>
            <w:webHidden/>
          </w:rPr>
          <w:fldChar w:fldCharType="begin"/>
        </w:r>
        <w:r w:rsidR="00572B9D">
          <w:rPr>
            <w:webHidden/>
          </w:rPr>
          <w:instrText xml:space="preserve"> PAGEREF _Toc140491213 \h </w:instrText>
        </w:r>
        <w:r w:rsidR="00572B9D">
          <w:rPr>
            <w:webHidden/>
          </w:rPr>
        </w:r>
        <w:r w:rsidR="00572B9D">
          <w:rPr>
            <w:webHidden/>
          </w:rPr>
          <w:fldChar w:fldCharType="separate"/>
        </w:r>
        <w:r w:rsidR="00013552">
          <w:rPr>
            <w:webHidden/>
          </w:rPr>
          <w:t>11</w:t>
        </w:r>
        <w:r w:rsidR="00572B9D">
          <w:rPr>
            <w:webHidden/>
          </w:rPr>
          <w:fldChar w:fldCharType="end"/>
        </w:r>
      </w:hyperlink>
    </w:p>
    <w:p w14:paraId="2C1D631D" w14:textId="38958489" w:rsidR="00572B9D" w:rsidRDefault="00D802F4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40491214" w:history="1">
        <w:r w:rsidR="00572B9D" w:rsidRPr="000F6C23">
          <w:rPr>
            <w:rStyle w:val="Hyperlink"/>
          </w:rPr>
          <w:t>Our measures for 2023–24</w:t>
        </w:r>
        <w:r w:rsidR="00572B9D">
          <w:rPr>
            <w:webHidden/>
          </w:rPr>
          <w:tab/>
        </w:r>
        <w:r w:rsidR="00572B9D">
          <w:rPr>
            <w:webHidden/>
          </w:rPr>
          <w:fldChar w:fldCharType="begin"/>
        </w:r>
        <w:r w:rsidR="00572B9D">
          <w:rPr>
            <w:webHidden/>
          </w:rPr>
          <w:instrText xml:space="preserve"> PAGEREF _Toc140491214 \h </w:instrText>
        </w:r>
        <w:r w:rsidR="00572B9D">
          <w:rPr>
            <w:webHidden/>
          </w:rPr>
        </w:r>
        <w:r w:rsidR="00572B9D">
          <w:rPr>
            <w:webHidden/>
          </w:rPr>
          <w:fldChar w:fldCharType="separate"/>
        </w:r>
        <w:r w:rsidR="00013552">
          <w:rPr>
            <w:webHidden/>
          </w:rPr>
          <w:t>12</w:t>
        </w:r>
        <w:r w:rsidR="00572B9D">
          <w:rPr>
            <w:webHidden/>
          </w:rPr>
          <w:fldChar w:fldCharType="end"/>
        </w:r>
      </w:hyperlink>
    </w:p>
    <w:p w14:paraId="7E7024CD" w14:textId="346F4B45" w:rsidR="00572B9D" w:rsidRDefault="00D802F4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0491215" w:history="1">
        <w:r w:rsidR="00572B9D" w:rsidRPr="000F6C23">
          <w:rPr>
            <w:rStyle w:val="Hyperlink"/>
          </w:rPr>
          <w:t>Performance measures</w:t>
        </w:r>
        <w:r w:rsidR="00572B9D">
          <w:rPr>
            <w:webHidden/>
          </w:rPr>
          <w:tab/>
        </w:r>
        <w:r w:rsidR="00572B9D">
          <w:rPr>
            <w:webHidden/>
          </w:rPr>
          <w:fldChar w:fldCharType="begin"/>
        </w:r>
        <w:r w:rsidR="00572B9D">
          <w:rPr>
            <w:webHidden/>
          </w:rPr>
          <w:instrText xml:space="preserve"> PAGEREF _Toc140491215 \h </w:instrText>
        </w:r>
        <w:r w:rsidR="00572B9D">
          <w:rPr>
            <w:webHidden/>
          </w:rPr>
        </w:r>
        <w:r w:rsidR="00572B9D">
          <w:rPr>
            <w:webHidden/>
          </w:rPr>
          <w:fldChar w:fldCharType="separate"/>
        </w:r>
        <w:r w:rsidR="00013552">
          <w:rPr>
            <w:webHidden/>
          </w:rPr>
          <w:t>12</w:t>
        </w:r>
        <w:r w:rsidR="00572B9D">
          <w:rPr>
            <w:webHidden/>
          </w:rPr>
          <w:fldChar w:fldCharType="end"/>
        </w:r>
      </w:hyperlink>
    </w:p>
    <w:p w14:paraId="2F40C170" w14:textId="2DB0D223" w:rsidR="00572B9D" w:rsidRDefault="00D802F4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0491216" w:history="1">
        <w:r w:rsidR="00572B9D" w:rsidRPr="000F6C23">
          <w:rPr>
            <w:rStyle w:val="Hyperlink"/>
          </w:rPr>
          <w:t>Risk-based targeting</w:t>
        </w:r>
        <w:r w:rsidR="00572B9D">
          <w:rPr>
            <w:webHidden/>
          </w:rPr>
          <w:tab/>
        </w:r>
        <w:r w:rsidR="00572B9D">
          <w:rPr>
            <w:webHidden/>
          </w:rPr>
          <w:fldChar w:fldCharType="begin"/>
        </w:r>
        <w:r w:rsidR="00572B9D">
          <w:rPr>
            <w:webHidden/>
          </w:rPr>
          <w:instrText xml:space="preserve"> PAGEREF _Toc140491216 \h </w:instrText>
        </w:r>
        <w:r w:rsidR="00572B9D">
          <w:rPr>
            <w:webHidden/>
          </w:rPr>
        </w:r>
        <w:r w:rsidR="00572B9D">
          <w:rPr>
            <w:webHidden/>
          </w:rPr>
          <w:fldChar w:fldCharType="separate"/>
        </w:r>
        <w:r w:rsidR="00013552">
          <w:rPr>
            <w:webHidden/>
          </w:rPr>
          <w:t>12</w:t>
        </w:r>
        <w:r w:rsidR="00572B9D">
          <w:rPr>
            <w:webHidden/>
          </w:rPr>
          <w:fldChar w:fldCharType="end"/>
        </w:r>
      </w:hyperlink>
    </w:p>
    <w:p w14:paraId="42C49055" w14:textId="6249ADFE" w:rsidR="00FB1F6E" w:rsidRDefault="00AD784C" w:rsidP="00D079AA">
      <w:pPr>
        <w:pStyle w:val="Body"/>
      </w:pPr>
      <w:r>
        <w:fldChar w:fldCharType="end"/>
      </w:r>
    </w:p>
    <w:p w14:paraId="56D509EB" w14:textId="77777777" w:rsidR="00FB1F6E" w:rsidRDefault="00FB1F6E">
      <w:pPr>
        <w:spacing w:after="0" w:line="240" w:lineRule="auto"/>
        <w:rPr>
          <w:rFonts w:eastAsia="Times"/>
        </w:rPr>
      </w:pPr>
      <w:r>
        <w:br w:type="page"/>
      </w:r>
    </w:p>
    <w:p w14:paraId="1DB2640F" w14:textId="77777777" w:rsidR="00E74F7A" w:rsidRPr="00237F4A" w:rsidRDefault="00E74F7A" w:rsidP="00E74F7A">
      <w:pPr>
        <w:pStyle w:val="Heading1"/>
        <w:rPr>
          <w:lang w:val="en-US"/>
        </w:rPr>
      </w:pPr>
      <w:bookmarkStart w:id="0" w:name="_Toc81460364"/>
      <w:bookmarkStart w:id="1" w:name="_Toc140491205"/>
      <w:r>
        <w:lastRenderedPageBreak/>
        <w:t>Foreword</w:t>
      </w:r>
      <w:bookmarkEnd w:id="0"/>
      <w:bookmarkEnd w:id="1"/>
    </w:p>
    <w:p w14:paraId="5FB54739" w14:textId="69EB4824" w:rsidR="00E74F7A" w:rsidRDefault="00E74F7A" w:rsidP="00705A82">
      <w:pPr>
        <w:pStyle w:val="Introtext"/>
      </w:pPr>
      <w:bookmarkStart w:id="2" w:name="_Toc81460365"/>
      <w:r>
        <w:t>As the</w:t>
      </w:r>
      <w:r w:rsidR="0015462E">
        <w:t xml:space="preserve"> operational</w:t>
      </w:r>
      <w:r>
        <w:t xml:space="preserve"> </w:t>
      </w:r>
      <w:r w:rsidR="008F7E4F">
        <w:t xml:space="preserve">regulatory </w:t>
      </w:r>
      <w:r w:rsidR="0015462E">
        <w:t>team</w:t>
      </w:r>
      <w:r>
        <w:t xml:space="preserve"> within the Department of Families, Fairness and Housing (the department)</w:t>
      </w:r>
      <w:r w:rsidR="009B39C1">
        <w:t>,</w:t>
      </w:r>
      <w:r>
        <w:t xml:space="preserve"> the Human Services Regulator (HSR) </w:t>
      </w:r>
      <w:r w:rsidR="009E0326">
        <w:t xml:space="preserve">fulfills </w:t>
      </w:r>
      <w:r>
        <w:t>an important role in reali</w:t>
      </w:r>
      <w:r w:rsidR="00526B57">
        <w:t>s</w:t>
      </w:r>
      <w:r>
        <w:t>ing</w:t>
      </w:r>
      <w:r w:rsidR="009B39C1">
        <w:t xml:space="preserve"> </w:t>
      </w:r>
      <w:r>
        <w:t xml:space="preserve">the department’s vision of empowering communities to build a fairer and safer Victoria. </w:t>
      </w:r>
    </w:p>
    <w:p w14:paraId="487A4341" w14:textId="0D290077" w:rsidR="00E74F7A" w:rsidRDefault="00E74F7A" w:rsidP="00705A82">
      <w:pPr>
        <w:pStyle w:val="Body"/>
      </w:pPr>
      <w:r>
        <w:t xml:space="preserve">Through delegations from the Minister for Disability, </w:t>
      </w:r>
      <w:r w:rsidR="00F3147F">
        <w:t xml:space="preserve">Minister for </w:t>
      </w:r>
      <w:proofErr w:type="gramStart"/>
      <w:r w:rsidR="00F3147F">
        <w:t>Children</w:t>
      </w:r>
      <w:proofErr w:type="gramEnd"/>
      <w:r w:rsidR="00F3147F">
        <w:t xml:space="preserve"> </w:t>
      </w:r>
      <w:r>
        <w:t>and the Secretary of the department, HSR</w:t>
      </w:r>
      <w:r w:rsidR="00536B97">
        <w:t>’s</w:t>
      </w:r>
      <w:r>
        <w:t xml:space="preserve"> </w:t>
      </w:r>
      <w:r w:rsidR="00536B97">
        <w:t>role is to</w:t>
      </w:r>
      <w:r>
        <w:t xml:space="preserve"> regulat</w:t>
      </w:r>
      <w:r w:rsidR="00536B97">
        <w:t>e</w:t>
      </w:r>
      <w:r>
        <w:t xml:space="preserve"> </w:t>
      </w:r>
      <w:r w:rsidR="00E75288">
        <w:t xml:space="preserve">the delivery of </w:t>
      </w:r>
      <w:r>
        <w:t xml:space="preserve">human services </w:t>
      </w:r>
      <w:r w:rsidR="00894F12">
        <w:t>to</w:t>
      </w:r>
      <w:r>
        <w:t xml:space="preserve"> minimise harm and protect the safety and rights of children, young people and adults.</w:t>
      </w:r>
    </w:p>
    <w:p w14:paraId="1572DD85" w14:textId="4FF93400" w:rsidR="00E74F7A" w:rsidRDefault="00E74F7A" w:rsidP="00705A82">
      <w:pPr>
        <w:pStyle w:val="Body"/>
      </w:pPr>
      <w:r>
        <w:t xml:space="preserve">We achieve this via the approach and strategies outlined in </w:t>
      </w:r>
      <w:r w:rsidR="00D72F9F">
        <w:t xml:space="preserve">the </w:t>
      </w:r>
      <w:r w:rsidR="00D72F9F">
        <w:rPr>
          <w:i/>
          <w:iCs/>
        </w:rPr>
        <w:t>HSR r</w:t>
      </w:r>
      <w:r w:rsidRPr="00705A82">
        <w:rPr>
          <w:i/>
          <w:iCs/>
        </w:rPr>
        <w:t xml:space="preserve">egulatory </w:t>
      </w:r>
      <w:r w:rsidR="009B39C1" w:rsidRPr="00705A82">
        <w:rPr>
          <w:i/>
          <w:iCs/>
        </w:rPr>
        <w:t>s</w:t>
      </w:r>
      <w:r w:rsidRPr="00705A82">
        <w:rPr>
          <w:i/>
          <w:iCs/>
        </w:rPr>
        <w:t>trategy</w:t>
      </w:r>
      <w:r>
        <w:t xml:space="preserve"> and </w:t>
      </w:r>
      <w:r w:rsidR="00D72F9F">
        <w:rPr>
          <w:i/>
          <w:iCs/>
        </w:rPr>
        <w:t>HSR c</w:t>
      </w:r>
      <w:r w:rsidRPr="00705A82">
        <w:rPr>
          <w:i/>
          <w:iCs/>
        </w:rPr>
        <w:t xml:space="preserve">ompliance and </w:t>
      </w:r>
      <w:r w:rsidR="009B39C1" w:rsidRPr="00705A82">
        <w:rPr>
          <w:i/>
          <w:iCs/>
        </w:rPr>
        <w:t>e</w:t>
      </w:r>
      <w:r w:rsidRPr="00705A82">
        <w:rPr>
          <w:i/>
          <w:iCs/>
        </w:rPr>
        <w:t>nforcement polic</w:t>
      </w:r>
      <w:r w:rsidR="009B39C1" w:rsidRPr="00705A82">
        <w:rPr>
          <w:i/>
          <w:iCs/>
        </w:rPr>
        <w:t>y</w:t>
      </w:r>
      <w:r w:rsidR="009B39C1">
        <w:t>.</w:t>
      </w:r>
      <w:r>
        <w:t xml:space="preserve"> </w:t>
      </w:r>
      <w:r w:rsidR="00590656">
        <w:t>Both</w:t>
      </w:r>
      <w:r w:rsidR="009B39C1">
        <w:t xml:space="preserve"> </w:t>
      </w:r>
      <w:r w:rsidR="002555AC">
        <w:t xml:space="preserve">documents </w:t>
      </w:r>
      <w:r>
        <w:t>detail the risk</w:t>
      </w:r>
      <w:r w:rsidR="009B39C1">
        <w:t>-</w:t>
      </w:r>
      <w:r>
        <w:t>based, intelligence</w:t>
      </w:r>
      <w:r w:rsidR="009B39C1">
        <w:t>-</w:t>
      </w:r>
      <w:r>
        <w:t xml:space="preserve">led approach we use in our regulatory oversight of in-scope human services. </w:t>
      </w:r>
    </w:p>
    <w:p w14:paraId="7295FB31" w14:textId="677F604F" w:rsidR="00D86550" w:rsidRDefault="00E74F7A" w:rsidP="00E74F7A">
      <w:pPr>
        <w:pStyle w:val="Body"/>
      </w:pPr>
      <w:r>
        <w:t xml:space="preserve">Drawing on these foundations </w:t>
      </w:r>
      <w:r w:rsidR="005658EC">
        <w:t xml:space="preserve">and acknowledging that </w:t>
      </w:r>
      <w:proofErr w:type="gramStart"/>
      <w:r w:rsidR="005658EC">
        <w:t>the vast majority of</w:t>
      </w:r>
      <w:proofErr w:type="gramEnd"/>
      <w:r w:rsidR="005658EC">
        <w:t xml:space="preserve"> service providers and carers are committed to providing </w:t>
      </w:r>
      <w:r w:rsidR="008B0D2E">
        <w:t xml:space="preserve">high quality </w:t>
      </w:r>
      <w:r w:rsidR="005658EC">
        <w:t xml:space="preserve">human services, </w:t>
      </w:r>
      <w:r>
        <w:t xml:space="preserve">this </w:t>
      </w:r>
      <w:r w:rsidR="00D86550">
        <w:t>annual regulatory plan</w:t>
      </w:r>
      <w:r>
        <w:t xml:space="preserve"> details the specific activities we will focus on in 202</w:t>
      </w:r>
      <w:r w:rsidR="00293037">
        <w:t>3</w:t>
      </w:r>
      <w:r w:rsidR="00D86550">
        <w:t>–</w:t>
      </w:r>
      <w:r>
        <w:t>2</w:t>
      </w:r>
      <w:r w:rsidR="00293037">
        <w:t>4</w:t>
      </w:r>
      <w:r>
        <w:t xml:space="preserve">. </w:t>
      </w:r>
      <w:r w:rsidR="00D86550">
        <w:t>T</w:t>
      </w:r>
      <w:r>
        <w:t>hese activities will include</w:t>
      </w:r>
      <w:r w:rsidR="00D86550">
        <w:t>:</w:t>
      </w:r>
    </w:p>
    <w:p w14:paraId="2EAB4F84" w14:textId="44D165E9" w:rsidR="00D86550" w:rsidRDefault="00E74F7A" w:rsidP="00D86550">
      <w:pPr>
        <w:pStyle w:val="Bullet1"/>
      </w:pPr>
      <w:r>
        <w:t xml:space="preserve">strategies we believe will further strengthen safeguarding arrangements for people </w:t>
      </w:r>
      <w:r w:rsidR="00D86550">
        <w:t>receiving</w:t>
      </w:r>
      <w:r>
        <w:t xml:space="preserve"> human </w:t>
      </w:r>
      <w:proofErr w:type="gramStart"/>
      <w:r>
        <w:t>services</w:t>
      </w:r>
      <w:proofErr w:type="gramEnd"/>
    </w:p>
    <w:p w14:paraId="2C631EA7" w14:textId="0D90A777" w:rsidR="00D86550" w:rsidRDefault="00E74F7A" w:rsidP="00D86550">
      <w:pPr>
        <w:pStyle w:val="Bullet1"/>
      </w:pPr>
      <w:r>
        <w:t>build</w:t>
      </w:r>
      <w:r w:rsidR="00A90A90">
        <w:t>ing</w:t>
      </w:r>
      <w:r>
        <w:t xml:space="preserve"> the capacity of regulated entities to meet their legislative </w:t>
      </w:r>
      <w:proofErr w:type="gramStart"/>
      <w:r>
        <w:t>obligations</w:t>
      </w:r>
      <w:proofErr w:type="gramEnd"/>
      <w:r>
        <w:t xml:space="preserve"> </w:t>
      </w:r>
    </w:p>
    <w:p w14:paraId="72A9070A" w14:textId="0700076E" w:rsidR="00E74F7A" w:rsidRDefault="00E74F7A" w:rsidP="00705A82">
      <w:pPr>
        <w:pStyle w:val="Bullet1"/>
      </w:pPr>
      <w:r>
        <w:t>prepar</w:t>
      </w:r>
      <w:r w:rsidR="00705A82">
        <w:t>ing</w:t>
      </w:r>
      <w:r>
        <w:t xml:space="preserve"> our team for changes arising from the implementation of the </w:t>
      </w:r>
      <w:r w:rsidRPr="00705A82">
        <w:rPr>
          <w:i/>
          <w:iCs/>
        </w:rPr>
        <w:t>Social Services Regulation Act 2021</w:t>
      </w:r>
      <w:r>
        <w:t xml:space="preserve">. </w:t>
      </w:r>
    </w:p>
    <w:p w14:paraId="18756BCB" w14:textId="340F5DBE" w:rsidR="00293037" w:rsidRDefault="00293037" w:rsidP="003348E7">
      <w:pPr>
        <w:pStyle w:val="Bodyafterbullets"/>
        <w:rPr>
          <w:i/>
          <w:iCs/>
        </w:rPr>
      </w:pPr>
      <w:r>
        <w:t xml:space="preserve">2023-24 marks the final year of the </w:t>
      </w:r>
      <w:r w:rsidR="00FD7DD8">
        <w:t>HSR</w:t>
      </w:r>
      <w:r>
        <w:t xml:space="preserve">. </w:t>
      </w:r>
      <w:r w:rsidR="008B0D2E">
        <w:t xml:space="preserve">On </w:t>
      </w:r>
      <w:r>
        <w:t xml:space="preserve">1 July 2024 the Social Services Regulator </w:t>
      </w:r>
      <w:r w:rsidR="00F635D8">
        <w:t xml:space="preserve">(SSR) </w:t>
      </w:r>
      <w:r>
        <w:t xml:space="preserve">will </w:t>
      </w:r>
      <w:r w:rsidR="00FD7DD8">
        <w:t xml:space="preserve">commence </w:t>
      </w:r>
      <w:r w:rsidR="00A32F3D">
        <w:t xml:space="preserve">operations </w:t>
      </w:r>
      <w:r w:rsidR="001B6CDA">
        <w:t>as provided for</w:t>
      </w:r>
      <w:r w:rsidR="00FD7DD8">
        <w:t xml:space="preserve"> under the </w:t>
      </w:r>
      <w:r w:rsidR="00A515F1">
        <w:rPr>
          <w:i/>
          <w:iCs/>
        </w:rPr>
        <w:t>Social Services Regulation Act 2021</w:t>
      </w:r>
      <w:r w:rsidR="001B6CDA">
        <w:rPr>
          <w:i/>
          <w:iCs/>
        </w:rPr>
        <w:t xml:space="preserve">. </w:t>
      </w:r>
      <w:r w:rsidR="001B6CDA" w:rsidRPr="00963091">
        <w:t>In doing so the SSR will</w:t>
      </w:r>
      <w:r w:rsidR="006F3021">
        <w:t xml:space="preserve"> replace existing regulatory arrangements </w:t>
      </w:r>
      <w:r w:rsidR="00DF11FD">
        <w:t xml:space="preserve">led by the HSR </w:t>
      </w:r>
      <w:r w:rsidR="00357ACA">
        <w:t xml:space="preserve">under the </w:t>
      </w:r>
      <w:r w:rsidR="00357ACA" w:rsidRPr="00AC1743">
        <w:rPr>
          <w:i/>
          <w:iCs/>
        </w:rPr>
        <w:t>Children</w:t>
      </w:r>
      <w:r w:rsidR="00F92E11">
        <w:rPr>
          <w:i/>
          <w:iCs/>
        </w:rPr>
        <w:t>,</w:t>
      </w:r>
      <w:r w:rsidR="00357ACA" w:rsidRPr="00AC1743">
        <w:rPr>
          <w:i/>
          <w:iCs/>
        </w:rPr>
        <w:t xml:space="preserve"> Youth and Famil</w:t>
      </w:r>
      <w:r w:rsidR="00F92E11">
        <w:rPr>
          <w:i/>
          <w:iCs/>
        </w:rPr>
        <w:t>ies</w:t>
      </w:r>
      <w:r w:rsidR="00357ACA" w:rsidRPr="00AC1743">
        <w:rPr>
          <w:i/>
          <w:iCs/>
        </w:rPr>
        <w:t xml:space="preserve"> Act </w:t>
      </w:r>
      <w:r w:rsidR="005B5E20" w:rsidRPr="00AC1743">
        <w:rPr>
          <w:i/>
          <w:iCs/>
        </w:rPr>
        <w:t>200</w:t>
      </w:r>
      <w:r w:rsidR="00C61BB9">
        <w:rPr>
          <w:i/>
          <w:iCs/>
        </w:rPr>
        <w:t>5</w:t>
      </w:r>
      <w:r w:rsidR="005B5E20" w:rsidRPr="00AC1743">
        <w:rPr>
          <w:i/>
          <w:iCs/>
        </w:rPr>
        <w:t xml:space="preserve">, </w:t>
      </w:r>
      <w:r w:rsidR="005B5E20">
        <w:rPr>
          <w:i/>
          <w:iCs/>
        </w:rPr>
        <w:t>Disability Act 2006</w:t>
      </w:r>
      <w:r w:rsidR="005B5E20">
        <w:t xml:space="preserve">, and the </w:t>
      </w:r>
      <w:r w:rsidR="005B5E20">
        <w:rPr>
          <w:i/>
          <w:iCs/>
        </w:rPr>
        <w:t>Supported Residential Services (Private Proprietors) Act 20</w:t>
      </w:r>
      <w:r w:rsidR="00950C80">
        <w:rPr>
          <w:i/>
          <w:iCs/>
        </w:rPr>
        <w:t>10</w:t>
      </w:r>
      <w:r w:rsidR="00CC37D1">
        <w:rPr>
          <w:i/>
          <w:iCs/>
        </w:rPr>
        <w:t xml:space="preserve">. </w:t>
      </w:r>
      <w:r w:rsidR="00CC37D1" w:rsidRPr="00CC37D1">
        <w:t>The SSR</w:t>
      </w:r>
      <w:r w:rsidR="00CC37D1">
        <w:rPr>
          <w:i/>
          <w:iCs/>
        </w:rPr>
        <w:t xml:space="preserve"> </w:t>
      </w:r>
      <w:r w:rsidR="00B443BF">
        <w:t xml:space="preserve">will also </w:t>
      </w:r>
      <w:r w:rsidR="00950C80">
        <w:t>becom</w:t>
      </w:r>
      <w:r w:rsidR="00D80DF4">
        <w:t>e</w:t>
      </w:r>
      <w:r w:rsidR="00950C80">
        <w:t xml:space="preserve"> an integrated sector regulator under the </w:t>
      </w:r>
      <w:r w:rsidR="00950C80">
        <w:rPr>
          <w:i/>
          <w:iCs/>
        </w:rPr>
        <w:t>Child Wellbeing and Safety Act 20</w:t>
      </w:r>
      <w:r w:rsidR="00942D94">
        <w:rPr>
          <w:i/>
          <w:iCs/>
        </w:rPr>
        <w:t>05.</w:t>
      </w:r>
      <w:r w:rsidR="005410F4">
        <w:rPr>
          <w:i/>
          <w:iCs/>
        </w:rPr>
        <w:t xml:space="preserve"> </w:t>
      </w:r>
    </w:p>
    <w:p w14:paraId="7869310F" w14:textId="2B5E2A33" w:rsidR="00F635D8" w:rsidRDefault="006C1BE4" w:rsidP="003348E7">
      <w:pPr>
        <w:pStyle w:val="Bodyafterbullets"/>
      </w:pPr>
      <w:r>
        <w:t>This will be a substantial period of change for the sector</w:t>
      </w:r>
      <w:r w:rsidR="0091358F">
        <w:t xml:space="preserve">. The HSR will </w:t>
      </w:r>
      <w:r w:rsidR="00B55B4C">
        <w:t xml:space="preserve">support work </w:t>
      </w:r>
      <w:r w:rsidR="00542251">
        <w:t xml:space="preserve">already underway </w:t>
      </w:r>
      <w:r w:rsidR="00B55B4C">
        <w:t>to prepare regulated entities</w:t>
      </w:r>
      <w:r w:rsidR="004165D3">
        <w:t xml:space="preserve"> for the commencement of the SSR</w:t>
      </w:r>
      <w:r w:rsidR="00EB3ECF">
        <w:t>.</w:t>
      </w:r>
      <w:r w:rsidR="00F635D8">
        <w:t xml:space="preserve"> </w:t>
      </w:r>
      <w:r w:rsidR="0030459A">
        <w:t xml:space="preserve">We expect that the </w:t>
      </w:r>
      <w:r w:rsidR="00F635D8">
        <w:t xml:space="preserve">SSR will </w:t>
      </w:r>
      <w:r w:rsidR="004165D3">
        <w:t xml:space="preserve">further </w:t>
      </w:r>
      <w:r w:rsidR="0030459A">
        <w:t xml:space="preserve">issue </w:t>
      </w:r>
      <w:r w:rsidR="003022DC">
        <w:t xml:space="preserve">its own </w:t>
      </w:r>
      <w:r w:rsidR="0030459A">
        <w:t>guidance</w:t>
      </w:r>
      <w:r w:rsidR="003022DC">
        <w:t xml:space="preserve"> to the sector.</w:t>
      </w:r>
    </w:p>
    <w:p w14:paraId="050CF8A0" w14:textId="6898E7C1" w:rsidR="006C1BE4" w:rsidRPr="006C1BE4" w:rsidRDefault="006A3750" w:rsidP="003348E7">
      <w:pPr>
        <w:pStyle w:val="Bodyafterbullets"/>
      </w:pPr>
      <w:r>
        <w:t xml:space="preserve">We will also ensure that our core regulatory functions are maintained </w:t>
      </w:r>
      <w:r w:rsidR="00AF6260">
        <w:t xml:space="preserve">and expect that all regulated entities </w:t>
      </w:r>
      <w:r w:rsidR="00BC28B4">
        <w:t xml:space="preserve">will </w:t>
      </w:r>
      <w:r w:rsidR="00AF6260">
        <w:t xml:space="preserve">continue to </w:t>
      </w:r>
      <w:r w:rsidR="00BC28B4">
        <w:t xml:space="preserve">meet their </w:t>
      </w:r>
      <w:r w:rsidR="00413D22">
        <w:t xml:space="preserve">legislative obligations and </w:t>
      </w:r>
      <w:r w:rsidR="00AF6260">
        <w:t>maintain the safety of their clients through</w:t>
      </w:r>
      <w:r w:rsidR="00413D22">
        <w:t>out</w:t>
      </w:r>
      <w:r w:rsidR="00AF6260">
        <w:t xml:space="preserve"> this </w:t>
      </w:r>
      <w:r w:rsidR="00F82AA1">
        <w:t>period.</w:t>
      </w:r>
    </w:p>
    <w:p w14:paraId="597FEEA9" w14:textId="259DC16F" w:rsidR="00E74F7A" w:rsidRDefault="00E74F7A" w:rsidP="003348E7">
      <w:pPr>
        <w:pStyle w:val="Bodyafterbullets"/>
      </w:pPr>
      <w:r>
        <w:t xml:space="preserve">We look forward to working with </w:t>
      </w:r>
      <w:r w:rsidRPr="00D86550">
        <w:t>human</w:t>
      </w:r>
      <w:r>
        <w:t xml:space="preserve"> services providers</w:t>
      </w:r>
      <w:r w:rsidR="001C3B17">
        <w:rPr>
          <w:rStyle w:val="FootnoteReference"/>
        </w:rPr>
        <w:footnoteReference w:id="2"/>
      </w:r>
      <w:r>
        <w:t xml:space="preserve"> and other key stakeholders </w:t>
      </w:r>
      <w:r w:rsidR="00D86550">
        <w:t>to</w:t>
      </w:r>
      <w:r>
        <w:t xml:space="preserve"> fulfil our respective obligations to uphold and promote the rights, safety and wellbeing of people </w:t>
      </w:r>
      <w:r w:rsidR="00D86550">
        <w:t>receiving</w:t>
      </w:r>
      <w:r>
        <w:t xml:space="preserve"> human services. </w:t>
      </w:r>
    </w:p>
    <w:p w14:paraId="1BF3B61E" w14:textId="77777777" w:rsidR="00E74F7A" w:rsidRDefault="00E74F7A" w:rsidP="00E74F7A">
      <w:pPr>
        <w:pStyle w:val="Heading1"/>
        <w:spacing w:line="259" w:lineRule="auto"/>
      </w:pPr>
      <w:bookmarkStart w:id="3" w:name="_Toc140491206"/>
      <w:r w:rsidRPr="00ED08E2">
        <w:rPr>
          <w:bCs w:val="0"/>
        </w:rPr>
        <w:lastRenderedPageBreak/>
        <w:t>Purpose of this document</w:t>
      </w:r>
      <w:bookmarkEnd w:id="2"/>
      <w:bookmarkEnd w:id="3"/>
    </w:p>
    <w:p w14:paraId="6F9E65E0" w14:textId="4398D19B" w:rsidR="00E74F7A" w:rsidRDefault="00E74F7A" w:rsidP="00856DEB">
      <w:pPr>
        <w:pStyle w:val="Introtext"/>
      </w:pPr>
      <w:r>
        <w:t xml:space="preserve">This </w:t>
      </w:r>
      <w:r w:rsidR="00D86550">
        <w:t xml:space="preserve">plan </w:t>
      </w:r>
      <w:r w:rsidR="00C1795C">
        <w:t>outlines</w:t>
      </w:r>
      <w:r w:rsidR="001E27BA">
        <w:t xml:space="preserve"> </w:t>
      </w:r>
      <w:r>
        <w:t>our commitment to the Victorian community</w:t>
      </w:r>
      <w:r w:rsidR="00D86550">
        <w:t>,</w:t>
      </w:r>
      <w:r>
        <w:t xml:space="preserve"> and our regulatory focus for </w:t>
      </w:r>
      <w:r w:rsidR="00D86550">
        <w:t>202</w:t>
      </w:r>
      <w:r w:rsidR="00293037">
        <w:t>3</w:t>
      </w:r>
      <w:r w:rsidR="00D86550">
        <w:t>–2</w:t>
      </w:r>
      <w:r w:rsidR="00293037">
        <w:t>4</w:t>
      </w:r>
      <w:r>
        <w:t xml:space="preserve">. It should be read in conjunction with the HSR </w:t>
      </w:r>
      <w:r w:rsidRPr="50032F30">
        <w:rPr>
          <w:i/>
          <w:iCs/>
        </w:rPr>
        <w:t xml:space="preserve">Regulatory </w:t>
      </w:r>
      <w:r w:rsidR="005F2287" w:rsidRPr="50032F30">
        <w:rPr>
          <w:i/>
          <w:iCs/>
        </w:rPr>
        <w:t>s</w:t>
      </w:r>
      <w:r w:rsidRPr="50032F30">
        <w:rPr>
          <w:i/>
          <w:iCs/>
        </w:rPr>
        <w:t>trategy</w:t>
      </w:r>
      <w:r>
        <w:t xml:space="preserve"> and </w:t>
      </w:r>
      <w:r w:rsidRPr="50032F30">
        <w:rPr>
          <w:i/>
          <w:iCs/>
        </w:rPr>
        <w:t xml:space="preserve">Compliance and </w:t>
      </w:r>
      <w:r w:rsidR="005F2287" w:rsidRPr="50032F30">
        <w:rPr>
          <w:i/>
          <w:iCs/>
        </w:rPr>
        <w:t>enforcement p</w:t>
      </w:r>
      <w:r w:rsidRPr="50032F30">
        <w:rPr>
          <w:i/>
          <w:iCs/>
        </w:rPr>
        <w:t>olicy.</w:t>
      </w:r>
    </w:p>
    <w:tbl>
      <w:tblPr>
        <w:tblStyle w:val="HSRtable"/>
        <w:tblW w:w="9237" w:type="dxa"/>
        <w:tblBorders>
          <w:left w:val="single" w:sz="24" w:space="0" w:color="D50032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9237"/>
      </w:tblGrid>
      <w:tr w:rsidR="00E74F7A" w14:paraId="571148D5" w14:textId="77777777" w:rsidTr="00130227">
        <w:trPr>
          <w:trHeight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7" w:type="dxa"/>
            <w:tcBorders>
              <w:left w:val="single" w:sz="36" w:space="0" w:color="D50032"/>
            </w:tcBorders>
          </w:tcPr>
          <w:p w14:paraId="55EE2CC6" w14:textId="5BD61724" w:rsidR="005F2287" w:rsidRDefault="00E74F7A" w:rsidP="00EE0060">
            <w:pPr>
              <w:pStyle w:val="Body"/>
            </w:pPr>
            <w:r w:rsidRPr="00E74F7A">
              <w:t>This document applies to the operations of the Human Services Regulator only.</w:t>
            </w:r>
          </w:p>
          <w:p w14:paraId="0C1D31EF" w14:textId="54B8D406" w:rsidR="00E74F7A" w:rsidRDefault="00E74F7A" w:rsidP="00B44DFF">
            <w:pPr>
              <w:pStyle w:val="Body"/>
            </w:pPr>
            <w:r w:rsidRPr="00E74F7A">
              <w:t xml:space="preserve">We expect the new </w:t>
            </w:r>
            <w:r w:rsidR="003022DC">
              <w:t>SSR</w:t>
            </w:r>
            <w:r w:rsidRPr="00E74F7A">
              <w:t xml:space="preserve"> will issue its own statements </w:t>
            </w:r>
            <w:r w:rsidR="005F2287">
              <w:t>on</w:t>
            </w:r>
            <w:r w:rsidR="005F2287" w:rsidRPr="00E74F7A">
              <w:t xml:space="preserve"> </w:t>
            </w:r>
            <w:r w:rsidRPr="00E74F7A">
              <w:t>how it intends to exercise its regulatory powers. Any such statements will replace th</w:t>
            </w:r>
            <w:r w:rsidR="00D06BF6">
              <w:t>ese</w:t>
            </w:r>
            <w:r w:rsidRPr="00E74F7A">
              <w:t xml:space="preserve"> document</w:t>
            </w:r>
            <w:r w:rsidR="00D06BF6">
              <w:t>s</w:t>
            </w:r>
            <w:r w:rsidRPr="00E74F7A">
              <w:t>.</w:t>
            </w:r>
          </w:p>
        </w:tc>
      </w:tr>
    </w:tbl>
    <w:p w14:paraId="779E080C" w14:textId="77777777" w:rsidR="005F2287" w:rsidRPr="00B44DFF" w:rsidRDefault="005F2287" w:rsidP="00B44DFF">
      <w:pPr>
        <w:pStyle w:val="Body"/>
      </w:pPr>
      <w:r w:rsidRPr="005F2287">
        <w:br w:type="page"/>
      </w:r>
    </w:p>
    <w:p w14:paraId="53093EF1" w14:textId="77777777" w:rsidR="00E74F7A" w:rsidRDefault="00E74F7A" w:rsidP="00E74F7A">
      <w:pPr>
        <w:pStyle w:val="Heading1"/>
      </w:pPr>
      <w:bookmarkStart w:id="4" w:name="_Toc81460366"/>
      <w:bookmarkStart w:id="5" w:name="_Toc140491207"/>
      <w:r>
        <w:lastRenderedPageBreak/>
        <w:t>Role</w:t>
      </w:r>
      <w:bookmarkEnd w:id="4"/>
      <w:bookmarkEnd w:id="5"/>
    </w:p>
    <w:p w14:paraId="24C0978B" w14:textId="77777777" w:rsidR="00E74F7A" w:rsidRDefault="00E74F7A" w:rsidP="00C8782B">
      <w:pPr>
        <w:pStyle w:val="Introtext"/>
      </w:pPr>
      <w:r w:rsidRPr="00736DDC">
        <w:t>The role</w:t>
      </w:r>
      <w:r w:rsidRPr="00736DDC">
        <w:rPr>
          <w:b/>
          <w:bCs/>
        </w:rPr>
        <w:t xml:space="preserve"> </w:t>
      </w:r>
      <w:r w:rsidRPr="00736DDC">
        <w:t>of the</w:t>
      </w:r>
      <w:r>
        <w:t xml:space="preserve"> HSR</w:t>
      </w:r>
      <w:r w:rsidRPr="00736DDC">
        <w:t xml:space="preserve"> </w:t>
      </w:r>
      <w:r w:rsidRPr="004C3A2C">
        <w:t xml:space="preserve">is </w:t>
      </w:r>
      <w:r>
        <w:t xml:space="preserve">to regulate in-scope human services to minimise harm and to protect the safety and rights of children, young </w:t>
      </w:r>
      <w:proofErr w:type="gramStart"/>
      <w:r>
        <w:t>people</w:t>
      </w:r>
      <w:proofErr w:type="gramEnd"/>
      <w:r>
        <w:t xml:space="preserve"> and adults. </w:t>
      </w:r>
    </w:p>
    <w:p w14:paraId="0B8269DE" w14:textId="77777777" w:rsidR="00E74F7A" w:rsidRDefault="00E74F7A" w:rsidP="00C8782B">
      <w:pPr>
        <w:pStyle w:val="Body"/>
      </w:pPr>
      <w:r>
        <w:t>We achieve this by:</w:t>
      </w:r>
    </w:p>
    <w:p w14:paraId="2524303C" w14:textId="77777777" w:rsidR="00E74F7A" w:rsidRDefault="00E74F7A" w:rsidP="00C8782B">
      <w:pPr>
        <w:pStyle w:val="Bullet1"/>
      </w:pPr>
      <w:r>
        <w:t>administering</w:t>
      </w:r>
      <w:r w:rsidRPr="004C3A2C">
        <w:t xml:space="preserve"> standards</w:t>
      </w:r>
    </w:p>
    <w:p w14:paraId="785B2551" w14:textId="77777777" w:rsidR="00E74F7A" w:rsidRDefault="00E74F7A" w:rsidP="00C8782B">
      <w:pPr>
        <w:pStyle w:val="Bullet1"/>
      </w:pPr>
      <w:r w:rsidRPr="004C3A2C">
        <w:t xml:space="preserve">promoting </w:t>
      </w:r>
      <w:r>
        <w:t>good</w:t>
      </w:r>
      <w:r w:rsidRPr="004C3A2C">
        <w:t xml:space="preserve"> practice </w:t>
      </w:r>
    </w:p>
    <w:p w14:paraId="5BB3851E" w14:textId="77777777" w:rsidR="00E74F7A" w:rsidRDefault="00E74F7A" w:rsidP="00C8782B">
      <w:pPr>
        <w:pStyle w:val="Bullet1"/>
      </w:pPr>
      <w:r w:rsidRPr="004C3A2C">
        <w:t>monitoring</w:t>
      </w:r>
      <w:r>
        <w:t xml:space="preserve"> an</w:t>
      </w:r>
      <w:r w:rsidRPr="004C3A2C">
        <w:t>d enforcing compliance</w:t>
      </w:r>
      <w:r>
        <w:t xml:space="preserve"> with relevant laws, </w:t>
      </w:r>
      <w:proofErr w:type="gramStart"/>
      <w:r>
        <w:t>regulations</w:t>
      </w:r>
      <w:proofErr w:type="gramEnd"/>
      <w:r>
        <w:t xml:space="preserve"> and standards</w:t>
      </w:r>
    </w:p>
    <w:p w14:paraId="1106B0EF" w14:textId="77777777" w:rsidR="00E74F7A" w:rsidRDefault="00E74F7A" w:rsidP="00C8782B">
      <w:pPr>
        <w:pStyle w:val="Bullet1"/>
      </w:pPr>
      <w:r>
        <w:t xml:space="preserve">building relationships. </w:t>
      </w:r>
    </w:p>
    <w:p w14:paraId="2FBC479B" w14:textId="77777777" w:rsidR="005F2287" w:rsidRDefault="00E74F7A" w:rsidP="00EE0060">
      <w:pPr>
        <w:pStyle w:val="Bodyafterbullets"/>
      </w:pPr>
      <w:r w:rsidRPr="00C67381">
        <w:rPr>
          <w:rFonts w:eastAsia="Arial" w:cs="Arial"/>
          <w:color w:val="333333"/>
        </w:rPr>
        <w:t xml:space="preserve">The HSR </w:t>
      </w:r>
      <w:r>
        <w:t>regulates the delivery of in-scope human services</w:t>
      </w:r>
      <w:r w:rsidRPr="004F42E1">
        <w:t>, including</w:t>
      </w:r>
      <w:r w:rsidR="005F2287">
        <w:t>:</w:t>
      </w:r>
    </w:p>
    <w:p w14:paraId="7D6F8C8A" w14:textId="77777777" w:rsidR="001D21A0" w:rsidRDefault="001D21A0" w:rsidP="001D21A0">
      <w:pPr>
        <w:pStyle w:val="Bullet1"/>
      </w:pPr>
      <w:r>
        <w:t xml:space="preserve">child, young </w:t>
      </w:r>
      <w:proofErr w:type="gramStart"/>
      <w:r>
        <w:t>person</w:t>
      </w:r>
      <w:proofErr w:type="gramEnd"/>
      <w:r>
        <w:t xml:space="preserve"> and family support services</w:t>
      </w:r>
    </w:p>
    <w:p w14:paraId="58415FAD" w14:textId="2A124C53" w:rsidR="005F2287" w:rsidRDefault="00E74F7A" w:rsidP="005F2287">
      <w:pPr>
        <w:pStyle w:val="Bullet1"/>
      </w:pPr>
      <w:r w:rsidRPr="004F42E1">
        <w:t xml:space="preserve">out-of-home </w:t>
      </w:r>
      <w:r w:rsidR="0087720F">
        <w:t xml:space="preserve">care </w:t>
      </w:r>
      <w:r>
        <w:t xml:space="preserve">services and </w:t>
      </w:r>
      <w:r w:rsidRPr="004F42E1">
        <w:t>carers</w:t>
      </w:r>
    </w:p>
    <w:p w14:paraId="26ECCCAE" w14:textId="77777777" w:rsidR="00052E27" w:rsidRDefault="00052E27" w:rsidP="00052E27">
      <w:pPr>
        <w:pStyle w:val="Bullet1"/>
      </w:pPr>
      <w:r w:rsidRPr="004F42E1">
        <w:t>services for people with disabilities.</w:t>
      </w:r>
    </w:p>
    <w:p w14:paraId="48F28E3B" w14:textId="0FF6759E" w:rsidR="005F2287" w:rsidRDefault="00E74F7A" w:rsidP="005F2287">
      <w:pPr>
        <w:pStyle w:val="Bullet1"/>
      </w:pPr>
      <w:r w:rsidRPr="004F42E1">
        <w:t xml:space="preserve">supported residential </w:t>
      </w:r>
      <w:proofErr w:type="gramStart"/>
      <w:r w:rsidR="00870503">
        <w:t>services</w:t>
      </w:r>
      <w:proofErr w:type="gramEnd"/>
    </w:p>
    <w:p w14:paraId="32B4D27B" w14:textId="4B3017E9" w:rsidR="005F2287" w:rsidRDefault="005F2287" w:rsidP="007B075F">
      <w:pPr>
        <w:pStyle w:val="Bullet1"/>
        <w:numPr>
          <w:ilvl w:val="0"/>
          <w:numId w:val="0"/>
        </w:numPr>
        <w:ind w:left="284"/>
      </w:pPr>
    </w:p>
    <w:p w14:paraId="48BE7CEB" w14:textId="40BE2BC9" w:rsidR="00E74F7A" w:rsidRPr="00C67381" w:rsidRDefault="00E74F7A" w:rsidP="00C8782B">
      <w:pPr>
        <w:pStyle w:val="Bodyafterbullets"/>
        <w:rPr>
          <w:rFonts w:eastAsia="Arial" w:cs="Arial"/>
          <w:color w:val="333333"/>
        </w:rPr>
      </w:pPr>
      <w:r w:rsidRPr="005F2287">
        <w:t>The</w:t>
      </w:r>
      <w:r>
        <w:t xml:space="preserve"> harms we </w:t>
      </w:r>
      <w:r w:rsidR="005F2287">
        <w:t>aim</w:t>
      </w:r>
      <w:r>
        <w:t xml:space="preserve"> to minimise and prevent include neglect and physical, emotional, </w:t>
      </w:r>
      <w:proofErr w:type="gramStart"/>
      <w:r>
        <w:t>sexual</w:t>
      </w:r>
      <w:proofErr w:type="gramEnd"/>
      <w:r>
        <w:t xml:space="preserve"> and financial abuse</w:t>
      </w:r>
      <w:r w:rsidRPr="00705FFE">
        <w:t xml:space="preserve"> </w:t>
      </w:r>
      <w:r>
        <w:t xml:space="preserve">by service providers, staff and carers. </w:t>
      </w:r>
    </w:p>
    <w:p w14:paraId="390016E7" w14:textId="77777777" w:rsidR="005F2287" w:rsidRDefault="00E74F7A" w:rsidP="00EE0060">
      <w:pPr>
        <w:pStyle w:val="Body"/>
      </w:pPr>
      <w:r w:rsidRPr="00E23DD1">
        <w:t>To do this, HSR undertakes a wide range of regulatory activities including</w:t>
      </w:r>
      <w:r w:rsidR="005F2287">
        <w:t>:</w:t>
      </w:r>
    </w:p>
    <w:p w14:paraId="469B4CA8" w14:textId="04756AD6" w:rsidR="005F2287" w:rsidRDefault="00E74F7A" w:rsidP="005F2287">
      <w:pPr>
        <w:pStyle w:val="Bullet1"/>
      </w:pPr>
      <w:r w:rsidRPr="00E23DD1">
        <w:t>registration</w:t>
      </w:r>
      <w:r w:rsidR="004C6F2F">
        <w:t xml:space="preserve"> and approvals</w:t>
      </w:r>
    </w:p>
    <w:p w14:paraId="75580B87" w14:textId="14297306" w:rsidR="005D4E51" w:rsidRDefault="006209A6" w:rsidP="006209A6">
      <w:pPr>
        <w:pStyle w:val="Bullet1"/>
      </w:pPr>
      <w:r w:rsidRPr="00E23DD1">
        <w:t xml:space="preserve">providing guidance, </w:t>
      </w:r>
      <w:proofErr w:type="gramStart"/>
      <w:r w:rsidRPr="00E23DD1">
        <w:t>training</w:t>
      </w:r>
      <w:proofErr w:type="gramEnd"/>
      <w:r w:rsidRPr="00E23DD1">
        <w:t xml:space="preserve"> and advice</w:t>
      </w:r>
    </w:p>
    <w:p w14:paraId="535718F4" w14:textId="27229919" w:rsidR="006209A6" w:rsidRDefault="006209A6" w:rsidP="006209A6">
      <w:pPr>
        <w:pStyle w:val="Bullet1"/>
      </w:pPr>
      <w:r w:rsidRPr="00E23DD1">
        <w:t>overseeing quality reviews</w:t>
      </w:r>
      <w:r>
        <w:t xml:space="preserve"> against standards</w:t>
      </w:r>
    </w:p>
    <w:p w14:paraId="7DA9B741" w14:textId="79F59E7B" w:rsidR="005F2287" w:rsidRDefault="00E74F7A" w:rsidP="005F2287">
      <w:pPr>
        <w:pStyle w:val="Bullet1"/>
      </w:pPr>
      <w:r w:rsidRPr="00E23DD1">
        <w:t>compliance monitoring and investigations</w:t>
      </w:r>
    </w:p>
    <w:p w14:paraId="0D889E32" w14:textId="293C9809" w:rsidR="006209A6" w:rsidRDefault="006209A6" w:rsidP="006209A6">
      <w:pPr>
        <w:pStyle w:val="Bullet1"/>
      </w:pPr>
      <w:r w:rsidRPr="00E23DD1">
        <w:t>incident response</w:t>
      </w:r>
      <w:r w:rsidR="00D9738A">
        <w:t xml:space="preserve"> </w:t>
      </w:r>
      <w:r w:rsidR="00E62BB2">
        <w:t>reviews</w:t>
      </w:r>
    </w:p>
    <w:p w14:paraId="0D3001E2" w14:textId="5ECDE046" w:rsidR="005F2287" w:rsidRDefault="00E74F7A" w:rsidP="005F2287">
      <w:pPr>
        <w:pStyle w:val="Bullet1"/>
      </w:pPr>
      <w:r w:rsidRPr="00E23DD1">
        <w:t>enforcement</w:t>
      </w:r>
    </w:p>
    <w:p w14:paraId="6D70E63B" w14:textId="77777777" w:rsidR="00C72154" w:rsidRDefault="00E74F7A" w:rsidP="00C72154">
      <w:pPr>
        <w:pStyle w:val="Bodyafterbullets"/>
      </w:pPr>
      <w:r w:rsidRPr="00993FA4">
        <w:t>HSR</w:t>
      </w:r>
      <w:r w:rsidRPr="00E23DD1">
        <w:t xml:space="preserve"> undertakes these activities in a targeted way</w:t>
      </w:r>
      <w:r w:rsidR="005F2287">
        <w:t>.</w:t>
      </w:r>
      <w:r w:rsidRPr="00E23DD1">
        <w:t xml:space="preserve"> </w:t>
      </w:r>
      <w:r w:rsidR="005F2287">
        <w:t xml:space="preserve">We </w:t>
      </w:r>
      <w:r w:rsidRPr="00E23DD1">
        <w:t>us</w:t>
      </w:r>
      <w:r w:rsidR="005F2287">
        <w:t>e</w:t>
      </w:r>
      <w:r w:rsidRPr="00E23DD1">
        <w:t xml:space="preserve"> a risk-based</w:t>
      </w:r>
      <w:r w:rsidR="005F2287">
        <w:t>,</w:t>
      </w:r>
      <w:r w:rsidRPr="00E23DD1">
        <w:t xml:space="preserve"> intelligence</w:t>
      </w:r>
      <w:r w:rsidR="005F2287">
        <w:t>-</w:t>
      </w:r>
      <w:r w:rsidRPr="00E23DD1">
        <w:t>driven approach</w:t>
      </w:r>
      <w:r w:rsidR="005F2287">
        <w:t>,</w:t>
      </w:r>
      <w:r w:rsidRPr="00E23DD1">
        <w:t xml:space="preserve"> consistent with </w:t>
      </w:r>
      <w:r w:rsidR="004A279A">
        <w:t>our</w:t>
      </w:r>
      <w:r w:rsidR="004A279A" w:rsidRPr="00E23DD1">
        <w:t xml:space="preserve"> </w:t>
      </w:r>
      <w:r w:rsidRPr="00993FA4">
        <w:rPr>
          <w:i/>
          <w:iCs/>
        </w:rPr>
        <w:t xml:space="preserve">Compliance and </w:t>
      </w:r>
      <w:r w:rsidR="004A279A" w:rsidRPr="00993FA4">
        <w:rPr>
          <w:i/>
          <w:iCs/>
        </w:rPr>
        <w:t>e</w:t>
      </w:r>
      <w:r w:rsidRPr="00993FA4">
        <w:rPr>
          <w:i/>
          <w:iCs/>
        </w:rPr>
        <w:t xml:space="preserve">nforcement </w:t>
      </w:r>
      <w:r w:rsidR="004A279A" w:rsidRPr="00993FA4">
        <w:rPr>
          <w:i/>
          <w:iCs/>
        </w:rPr>
        <w:t>p</w:t>
      </w:r>
      <w:r w:rsidRPr="00993FA4">
        <w:rPr>
          <w:i/>
          <w:iCs/>
        </w:rPr>
        <w:t>olicy</w:t>
      </w:r>
      <w:r w:rsidRPr="00E23DD1">
        <w:t xml:space="preserve"> and guided by </w:t>
      </w:r>
      <w:r w:rsidR="004A279A">
        <w:t xml:space="preserve">our </w:t>
      </w:r>
      <w:r w:rsidRPr="00E23DD1">
        <w:t xml:space="preserve">principles of being collaborative, accountable, proportionate, effective and clear. </w:t>
      </w:r>
      <w:bookmarkStart w:id="6" w:name="_Toc81460367"/>
      <w:bookmarkStart w:id="7" w:name="_Toc140491208"/>
    </w:p>
    <w:p w14:paraId="0DC21A62" w14:textId="77777777" w:rsidR="00C72154" w:rsidRDefault="00C72154">
      <w:pPr>
        <w:spacing w:after="0" w:line="240" w:lineRule="auto"/>
        <w:rPr>
          <w:rFonts w:eastAsia="Times"/>
        </w:rPr>
      </w:pPr>
      <w:r>
        <w:br w:type="page"/>
      </w:r>
    </w:p>
    <w:p w14:paraId="5F4F47C1" w14:textId="1F3D4D10" w:rsidR="00E74F7A" w:rsidRDefault="00E74F7A" w:rsidP="00C72154">
      <w:pPr>
        <w:pStyle w:val="Heading1"/>
      </w:pPr>
      <w:r>
        <w:t>Our regulatory focus for 202</w:t>
      </w:r>
      <w:r w:rsidR="00CF65BD">
        <w:t>3</w:t>
      </w:r>
      <w:r w:rsidR="00EE0060">
        <w:t>–</w:t>
      </w:r>
      <w:r>
        <w:t>2</w:t>
      </w:r>
      <w:r w:rsidR="00CF65BD">
        <w:t>4</w:t>
      </w:r>
      <w:bookmarkEnd w:id="6"/>
      <w:bookmarkEnd w:id="7"/>
      <w:r>
        <w:t xml:space="preserve"> </w:t>
      </w:r>
    </w:p>
    <w:p w14:paraId="7F80B06B" w14:textId="2EC9486E" w:rsidR="00E74F7A" w:rsidRDefault="004A279A" w:rsidP="00F675B6">
      <w:pPr>
        <w:pStyle w:val="Introtext"/>
      </w:pPr>
      <w:r>
        <w:t xml:space="preserve">For </w:t>
      </w:r>
      <w:r w:rsidR="00E74F7A" w:rsidRPr="00906138">
        <w:t>the financial</w:t>
      </w:r>
      <w:r w:rsidR="00E74F7A">
        <w:t xml:space="preserve"> year </w:t>
      </w:r>
      <w:r w:rsidR="00D86550">
        <w:t>202</w:t>
      </w:r>
      <w:r w:rsidR="00CF65BD">
        <w:t>3</w:t>
      </w:r>
      <w:r w:rsidR="00D86550">
        <w:t>–2</w:t>
      </w:r>
      <w:r w:rsidR="00CF65BD">
        <w:t>4</w:t>
      </w:r>
      <w:r>
        <w:t>,</w:t>
      </w:r>
      <w:r w:rsidR="00E74F7A" w:rsidRPr="0DDA5185">
        <w:t xml:space="preserve"> </w:t>
      </w:r>
      <w:r w:rsidR="00BF1AEA">
        <w:t xml:space="preserve">we </w:t>
      </w:r>
      <w:r w:rsidR="00E74F7A">
        <w:t>will focus on the</w:t>
      </w:r>
      <w:r>
        <w:t xml:space="preserve"> following</w:t>
      </w:r>
      <w:r w:rsidR="00E74F7A">
        <w:t xml:space="preserve"> strategic </w:t>
      </w:r>
      <w:r w:rsidR="00812BF1">
        <w:t>priorities</w:t>
      </w:r>
      <w:r>
        <w:t>.</w:t>
      </w:r>
    </w:p>
    <w:p w14:paraId="3C8C5554" w14:textId="5E56F697" w:rsidR="00E40D25" w:rsidRDefault="00E40D25" w:rsidP="00F675B6">
      <w:pPr>
        <w:pStyle w:val="Bullet1"/>
      </w:pPr>
      <w:r>
        <w:rPr>
          <w:rStyle w:val="Strong"/>
        </w:rPr>
        <w:t>T</w:t>
      </w:r>
      <w:r w:rsidRPr="2FA1C457">
        <w:rPr>
          <w:rStyle w:val="Strong"/>
        </w:rPr>
        <w:t>arget high-risk individuals:</w:t>
      </w:r>
      <w:r>
        <w:t xml:space="preserve"> use the full force of the law to prohibit and exclude </w:t>
      </w:r>
      <w:r w:rsidR="00C80D91">
        <w:t xml:space="preserve">in-scope service providers and carers </w:t>
      </w:r>
      <w:r>
        <w:t xml:space="preserve">who deliberately abuse, </w:t>
      </w:r>
      <w:proofErr w:type="gramStart"/>
      <w:r>
        <w:t>exploit</w:t>
      </w:r>
      <w:proofErr w:type="gramEnd"/>
      <w:r w:rsidR="00A10C16">
        <w:t xml:space="preserve"> or</w:t>
      </w:r>
      <w:r>
        <w:t xml:space="preserve"> neglect </w:t>
      </w:r>
      <w:r w:rsidR="00B62C79">
        <w:t>service users</w:t>
      </w:r>
      <w:r w:rsidR="00C95FDF">
        <w:t xml:space="preserve"> </w:t>
      </w:r>
      <w:r>
        <w:t>or repeatedly fail to comply</w:t>
      </w:r>
      <w:r w:rsidR="00C95FDF">
        <w:t xml:space="preserve"> with legislative obligations</w:t>
      </w:r>
      <w:r w:rsidR="00E92FCC">
        <w:t>.</w:t>
      </w:r>
    </w:p>
    <w:p w14:paraId="26EA88A1" w14:textId="1DEA107A" w:rsidR="00BA4109" w:rsidRPr="00EC15B5" w:rsidRDefault="00EC15B5" w:rsidP="00F675B6">
      <w:pPr>
        <w:pStyle w:val="Bullet1"/>
        <w:rPr>
          <w:rStyle w:val="Strong"/>
        </w:rPr>
      </w:pPr>
      <w:r w:rsidRPr="50032F30">
        <w:rPr>
          <w:rStyle w:val="Strong"/>
        </w:rPr>
        <w:t>Enhance</w:t>
      </w:r>
      <w:r w:rsidR="00BA4109" w:rsidRPr="50032F30">
        <w:rPr>
          <w:rStyle w:val="Strong"/>
        </w:rPr>
        <w:t xml:space="preserve"> Governance and Management</w:t>
      </w:r>
      <w:r w:rsidRPr="50032F30">
        <w:rPr>
          <w:rStyle w:val="Strong"/>
        </w:rPr>
        <w:t xml:space="preserve">: </w:t>
      </w:r>
      <w:r w:rsidR="00211683" w:rsidRPr="50032F30">
        <w:rPr>
          <w:rStyle w:val="Strong"/>
          <w:b w:val="0"/>
          <w:bCs w:val="0"/>
        </w:rPr>
        <w:t>Work to eliminate p</w:t>
      </w:r>
      <w:r w:rsidRPr="50032F30">
        <w:rPr>
          <w:rStyle w:val="Strong"/>
          <w:b w:val="0"/>
          <w:bCs w:val="0"/>
        </w:rPr>
        <w:t xml:space="preserve">oor </w:t>
      </w:r>
      <w:r w:rsidR="00211683" w:rsidRPr="50032F30">
        <w:rPr>
          <w:rStyle w:val="Strong"/>
          <w:b w:val="0"/>
          <w:bCs w:val="0"/>
        </w:rPr>
        <w:t>g</w:t>
      </w:r>
      <w:r w:rsidRPr="50032F30">
        <w:rPr>
          <w:rStyle w:val="Strong"/>
          <w:b w:val="0"/>
          <w:bCs w:val="0"/>
        </w:rPr>
        <w:t xml:space="preserve">overnance and </w:t>
      </w:r>
      <w:r w:rsidR="00211683" w:rsidRPr="50032F30">
        <w:rPr>
          <w:rStyle w:val="Strong"/>
          <w:b w:val="0"/>
          <w:bCs w:val="0"/>
        </w:rPr>
        <w:t>m</w:t>
      </w:r>
      <w:r w:rsidRPr="50032F30">
        <w:rPr>
          <w:rStyle w:val="Strong"/>
          <w:b w:val="0"/>
          <w:bCs w:val="0"/>
        </w:rPr>
        <w:t xml:space="preserve">anagement practices </w:t>
      </w:r>
      <w:r w:rsidR="005909B6">
        <w:rPr>
          <w:rStyle w:val="Strong"/>
          <w:b w:val="0"/>
          <w:bCs w:val="0"/>
        </w:rPr>
        <w:t xml:space="preserve">in </w:t>
      </w:r>
      <w:r w:rsidR="002F59A8">
        <w:rPr>
          <w:rStyle w:val="Strong"/>
          <w:b w:val="0"/>
          <w:bCs w:val="0"/>
        </w:rPr>
        <w:t xml:space="preserve">duty-holders </w:t>
      </w:r>
      <w:r w:rsidR="00211683" w:rsidRPr="50032F30">
        <w:rPr>
          <w:rStyle w:val="Strong"/>
          <w:b w:val="0"/>
          <w:bCs w:val="0"/>
        </w:rPr>
        <w:t>which are a strong driver of harm to services users.</w:t>
      </w:r>
    </w:p>
    <w:p w14:paraId="325C3AAE" w14:textId="12901A62" w:rsidR="00E74F7A" w:rsidRDefault="004A279A" w:rsidP="00F675B6">
      <w:pPr>
        <w:pStyle w:val="Bullet1"/>
      </w:pPr>
      <w:bookmarkStart w:id="8" w:name="_Hlk73019160"/>
      <w:r>
        <w:rPr>
          <w:rStyle w:val="Strong"/>
        </w:rPr>
        <w:t>I</w:t>
      </w:r>
      <w:r w:rsidR="00E74F7A" w:rsidRPr="007C1615">
        <w:rPr>
          <w:rStyle w:val="Strong"/>
        </w:rPr>
        <w:t>mprov</w:t>
      </w:r>
      <w:r>
        <w:rPr>
          <w:rStyle w:val="Strong"/>
        </w:rPr>
        <w:t>e</w:t>
      </w:r>
      <w:r w:rsidR="00E74F7A" w:rsidRPr="007C1615">
        <w:rPr>
          <w:rStyle w:val="Strong"/>
        </w:rPr>
        <w:t xml:space="preserve"> collaboration</w:t>
      </w:r>
      <w:bookmarkEnd w:id="8"/>
      <w:r w:rsidR="00E74F7A" w:rsidRPr="007C1615">
        <w:rPr>
          <w:rStyle w:val="Strong"/>
        </w:rPr>
        <w:t>:</w:t>
      </w:r>
      <w:r w:rsidR="00E74F7A" w:rsidRPr="007C1615">
        <w:t xml:space="preserve"> work closely with other regulators</w:t>
      </w:r>
      <w:r w:rsidR="00C95FDF">
        <w:t xml:space="preserve">, </w:t>
      </w:r>
      <w:r w:rsidR="00E74F7A">
        <w:t>funding</w:t>
      </w:r>
      <w:r w:rsidR="008F1160">
        <w:t>,</w:t>
      </w:r>
      <w:r w:rsidR="00E74F7A" w:rsidRPr="007C1615">
        <w:t xml:space="preserve"> </w:t>
      </w:r>
      <w:r w:rsidR="00C95FDF">
        <w:t xml:space="preserve">and safeguarding </w:t>
      </w:r>
      <w:r w:rsidR="00E74F7A">
        <w:t>bodies</w:t>
      </w:r>
      <w:r w:rsidR="00E74F7A" w:rsidRPr="007C1615">
        <w:t xml:space="preserve"> to address gaps and overlaps, improve intelligence, identify opportunities to reduce regulatory burden and strengthen escalation and referral approaches</w:t>
      </w:r>
      <w:r w:rsidR="00E92FCC">
        <w:t>.</w:t>
      </w:r>
    </w:p>
    <w:p w14:paraId="29FF2F27" w14:textId="6F46BAB8" w:rsidR="00E40D25" w:rsidRDefault="00E40D25" w:rsidP="00F675B6">
      <w:pPr>
        <w:pStyle w:val="Bullet1"/>
      </w:pPr>
      <w:r>
        <w:rPr>
          <w:rStyle w:val="Strong"/>
        </w:rPr>
        <w:t>M</w:t>
      </w:r>
      <w:r w:rsidRPr="007C1615">
        <w:rPr>
          <w:rStyle w:val="Strong"/>
        </w:rPr>
        <w:t>anag</w:t>
      </w:r>
      <w:r>
        <w:rPr>
          <w:rStyle w:val="Strong"/>
        </w:rPr>
        <w:t>e</w:t>
      </w:r>
      <w:r w:rsidRPr="007C1615">
        <w:rPr>
          <w:rStyle w:val="Strong"/>
        </w:rPr>
        <w:t xml:space="preserve"> and prepar</w:t>
      </w:r>
      <w:r>
        <w:rPr>
          <w:rStyle w:val="Strong"/>
        </w:rPr>
        <w:t>e</w:t>
      </w:r>
      <w:r w:rsidRPr="007C1615">
        <w:rPr>
          <w:rStyle w:val="Strong"/>
        </w:rPr>
        <w:t xml:space="preserve"> for change:</w:t>
      </w:r>
      <w:r w:rsidRPr="007C1615">
        <w:t xml:space="preserve"> provi</w:t>
      </w:r>
      <w:r>
        <w:t>de</w:t>
      </w:r>
      <w:r w:rsidRPr="007C1615">
        <w:t xml:space="preserve"> support to duty</w:t>
      </w:r>
      <w:r w:rsidR="009D58BE">
        <w:t>-</w:t>
      </w:r>
      <w:r w:rsidRPr="007C1615">
        <w:t xml:space="preserve">holders to manage change and maintain good practice to minimise impacts to service delivery arising from </w:t>
      </w:r>
      <w:r w:rsidR="63ED1A09">
        <w:t xml:space="preserve">changes to the regulatory environment. </w:t>
      </w:r>
    </w:p>
    <w:p w14:paraId="552BFD44" w14:textId="34AFBA1A" w:rsidR="002E4C61" w:rsidRDefault="004A279A" w:rsidP="004F21FC">
      <w:pPr>
        <w:pStyle w:val="Bullet1"/>
        <w:rPr>
          <w:rStyle w:val="Strong"/>
        </w:rPr>
      </w:pPr>
      <w:r>
        <w:rPr>
          <w:rStyle w:val="Strong"/>
        </w:rPr>
        <w:t>B</w:t>
      </w:r>
      <w:r w:rsidR="00E74F7A" w:rsidRPr="007C1615">
        <w:rPr>
          <w:rStyle w:val="Strong"/>
        </w:rPr>
        <w:t>uild our capability:</w:t>
      </w:r>
      <w:r w:rsidR="00E74F7A" w:rsidRPr="007C1615">
        <w:t xml:space="preserve"> </w:t>
      </w:r>
      <w:r w:rsidR="002D0CB9">
        <w:t xml:space="preserve">further </w:t>
      </w:r>
      <w:r w:rsidR="00E74F7A" w:rsidRPr="007C1615">
        <w:t>modernis</w:t>
      </w:r>
      <w:r w:rsidR="00BF1AEA">
        <w:t>e</w:t>
      </w:r>
      <w:r w:rsidR="00E74F7A" w:rsidRPr="007C1615">
        <w:t xml:space="preserve"> and strengthen </w:t>
      </w:r>
      <w:r w:rsidR="00E74F7A">
        <w:t>HSR’s</w:t>
      </w:r>
      <w:r w:rsidR="00E74F7A" w:rsidRPr="007C1615">
        <w:t xml:space="preserve"> regulatory practices to be better targeted, more proportionate, </w:t>
      </w:r>
      <w:proofErr w:type="gramStart"/>
      <w:r w:rsidR="00E74F7A" w:rsidRPr="007C1615">
        <w:t>effective</w:t>
      </w:r>
      <w:proofErr w:type="gramEnd"/>
      <w:r w:rsidR="00E74F7A" w:rsidRPr="007C1615">
        <w:t xml:space="preserve"> and transparent</w:t>
      </w:r>
      <w:r w:rsidR="00B62C79">
        <w:t xml:space="preserve"> and ready to use all of our regulatory powers</w:t>
      </w:r>
      <w:r w:rsidR="00E74F7A">
        <w:t>.</w:t>
      </w:r>
    </w:p>
    <w:p w14:paraId="4B517C7C" w14:textId="0FD22ECC" w:rsidR="00F57E87" w:rsidRPr="00EA5131" w:rsidRDefault="00F57E87" w:rsidP="00EA5131">
      <w:pPr>
        <w:pStyle w:val="Bullet1"/>
        <w:numPr>
          <w:ilvl w:val="0"/>
          <w:numId w:val="0"/>
        </w:numPr>
        <w:ind w:left="360"/>
        <w:rPr>
          <w:rStyle w:val="Strong"/>
          <w:b w:val="0"/>
          <w:bCs w:val="0"/>
        </w:rPr>
      </w:pPr>
    </w:p>
    <w:p w14:paraId="13A51D9D" w14:textId="4A70253D" w:rsidR="006225F3" w:rsidRPr="002E4C61" w:rsidRDefault="006225F3" w:rsidP="00F57E87">
      <w:pPr>
        <w:pStyle w:val="Bullet1"/>
        <w:numPr>
          <w:ilvl w:val="0"/>
          <w:numId w:val="0"/>
        </w:numPr>
        <w:rPr>
          <w:rStyle w:val="Strong"/>
          <w:b w:val="0"/>
          <w:bCs w:val="0"/>
        </w:rPr>
      </w:pPr>
      <w:r w:rsidRPr="00E23DD1">
        <w:rPr>
          <w:rStyle w:val="Strong"/>
        </w:rPr>
        <w:t>Safety and wellbeing</w:t>
      </w:r>
      <w:r w:rsidRPr="002E4C61">
        <w:rPr>
          <w:rStyle w:val="Strong"/>
          <w:b w:val="0"/>
          <w:bCs w:val="0"/>
        </w:rPr>
        <w:t xml:space="preserve"> - In addition to these strategic priorities, in performing its compliance activities the HSR will focus on high-risk activities including administration of medication, ensuring that the appropriate health care and support is provided to </w:t>
      </w:r>
      <w:r w:rsidR="00923C68">
        <w:rPr>
          <w:rStyle w:val="Strong"/>
          <w:b w:val="0"/>
          <w:bCs w:val="0"/>
        </w:rPr>
        <w:t>service users</w:t>
      </w:r>
      <w:r w:rsidR="00923C68" w:rsidRPr="002E4C61">
        <w:rPr>
          <w:rStyle w:val="Strong"/>
          <w:b w:val="0"/>
          <w:bCs w:val="0"/>
        </w:rPr>
        <w:t xml:space="preserve"> </w:t>
      </w:r>
      <w:r w:rsidRPr="002E4C61">
        <w:rPr>
          <w:rStyle w:val="Strong"/>
          <w:b w:val="0"/>
          <w:bCs w:val="0"/>
        </w:rPr>
        <w:t xml:space="preserve">and emergency management systems are maintained accordingly. </w:t>
      </w:r>
    </w:p>
    <w:p w14:paraId="762CCD55" w14:textId="011F6D54" w:rsidR="00E74F7A" w:rsidRDefault="00E74F7A" w:rsidP="00E74F7A">
      <w:pPr>
        <w:pStyle w:val="Heading2"/>
      </w:pPr>
      <w:bookmarkStart w:id="9" w:name="_Toc140491209"/>
      <w:bookmarkStart w:id="10" w:name="_Toc81460368"/>
      <w:r>
        <w:t>Target high-risk individuals</w:t>
      </w:r>
      <w:bookmarkEnd w:id="9"/>
      <w:r>
        <w:t xml:space="preserve"> </w:t>
      </w:r>
      <w:bookmarkEnd w:id="10"/>
    </w:p>
    <w:p w14:paraId="01413098" w14:textId="215F7AA3" w:rsidR="00BF1AEA" w:rsidRDefault="00E74F7A" w:rsidP="00C91549">
      <w:pPr>
        <w:pStyle w:val="Body"/>
      </w:pPr>
      <w:r>
        <w:t xml:space="preserve">While most entities and individuals regulated by the HSR genuinely </w:t>
      </w:r>
      <w:r w:rsidR="00BF1AEA">
        <w:t>aim</w:t>
      </w:r>
      <w:r>
        <w:t xml:space="preserve"> to provide the best services possible, the attitudes and behaviours of the small proportion unwilling or incapable of complying </w:t>
      </w:r>
      <w:r w:rsidR="00BC4920">
        <w:t xml:space="preserve">with their legislated </w:t>
      </w:r>
      <w:r w:rsidR="009D1E99">
        <w:t xml:space="preserve">requirements </w:t>
      </w:r>
      <w:r>
        <w:t xml:space="preserve">can lead to serious harm to </w:t>
      </w:r>
      <w:r w:rsidR="00B62C79">
        <w:t xml:space="preserve">people experiencing </w:t>
      </w:r>
      <w:r w:rsidR="00434AC8">
        <w:t>vulnerab</w:t>
      </w:r>
      <w:r w:rsidR="00B62C79">
        <w:t>ility</w:t>
      </w:r>
      <w:r>
        <w:t>.</w:t>
      </w:r>
    </w:p>
    <w:p w14:paraId="1D625927" w14:textId="0F6FE3C6" w:rsidR="00434AC8" w:rsidRDefault="00032FCB" w:rsidP="00E74F7A">
      <w:pPr>
        <w:pStyle w:val="Body"/>
      </w:pPr>
      <w:r>
        <w:t>Where</w:t>
      </w:r>
      <w:r w:rsidR="00E74F7A">
        <w:t xml:space="preserve"> there is evidence of deliberate non-compliance, abusive or exploitative behaviour that directly causes harm, </w:t>
      </w:r>
      <w:r w:rsidR="00434AC8">
        <w:t>we will</w:t>
      </w:r>
      <w:r w:rsidR="00E74F7A">
        <w:t xml:space="preserve"> apply the full force of the law </w:t>
      </w:r>
      <w:r w:rsidR="00AE182A">
        <w:t xml:space="preserve">including </w:t>
      </w:r>
      <w:r w:rsidR="00E74F7A">
        <w:t>by placing limitations</w:t>
      </w:r>
      <w:r w:rsidR="004514BE">
        <w:t xml:space="preserve"> or</w:t>
      </w:r>
      <w:r w:rsidR="00E74F7A">
        <w:t xml:space="preserve"> restrictions</w:t>
      </w:r>
      <w:r w:rsidR="00802444">
        <w:t xml:space="preserve">, </w:t>
      </w:r>
      <w:r w:rsidR="00E74F7A">
        <w:t xml:space="preserve">imposing </w:t>
      </w:r>
      <w:proofErr w:type="gramStart"/>
      <w:r w:rsidR="00E74F7A">
        <w:t>penalties</w:t>
      </w:r>
      <w:proofErr w:type="gramEnd"/>
      <w:r w:rsidR="00E74F7A">
        <w:t xml:space="preserve"> </w:t>
      </w:r>
      <w:r w:rsidR="00802444">
        <w:t>or seeking to prosecute</w:t>
      </w:r>
      <w:r w:rsidR="00E74F7A">
        <w:t xml:space="preserve"> those duty-holders and individuals.</w:t>
      </w:r>
    </w:p>
    <w:p w14:paraId="2FCE2D17" w14:textId="479215A6" w:rsidR="00E74F7A" w:rsidRDefault="00E74F7A" w:rsidP="00E74F7A">
      <w:pPr>
        <w:pStyle w:val="Body"/>
      </w:pPr>
      <w:r>
        <w:t>We will also work with other regulators to share information and act jointly, as appropriate.</w:t>
      </w:r>
    </w:p>
    <w:p w14:paraId="13A4A4E6" w14:textId="77777777" w:rsidR="00E74F7A" w:rsidRPr="00906138" w:rsidRDefault="00E74F7A" w:rsidP="0009209B">
      <w:pPr>
        <w:pStyle w:val="Heading3"/>
      </w:pPr>
      <w:r w:rsidRPr="00906138">
        <w:t xml:space="preserve">Carers that are </w:t>
      </w:r>
      <w:r>
        <w:t xml:space="preserve">alleged to have sexually or physically abused children in out-of-home </w:t>
      </w:r>
      <w:proofErr w:type="gramStart"/>
      <w:r>
        <w:t>care</w:t>
      </w:r>
      <w:proofErr w:type="gramEnd"/>
      <w:r>
        <w:t xml:space="preserve"> </w:t>
      </w:r>
    </w:p>
    <w:p w14:paraId="7E1D25DF" w14:textId="7AA15A0F" w:rsidR="00434AC8" w:rsidRDefault="00E74F7A" w:rsidP="00E74F7A">
      <w:pPr>
        <w:pStyle w:val="Body"/>
      </w:pPr>
      <w:r>
        <w:t>The intent of the registration and disqualification processes for out-of-home carers under the</w:t>
      </w:r>
      <w:r w:rsidRPr="2FA1C457">
        <w:rPr>
          <w:i/>
          <w:iCs/>
        </w:rPr>
        <w:t xml:space="preserve"> Children, Youth and Families Act 2005</w:t>
      </w:r>
      <w:r>
        <w:t xml:space="preserve"> </w:t>
      </w:r>
      <w:r w:rsidR="00BE08F8">
        <w:t xml:space="preserve">(CYF Act) </w:t>
      </w:r>
      <w:r>
        <w:t>is to provide greater protection for children in the out</w:t>
      </w:r>
      <w:r w:rsidR="00434AC8">
        <w:t>-</w:t>
      </w:r>
      <w:r>
        <w:t>of</w:t>
      </w:r>
      <w:r w:rsidR="00434AC8">
        <w:t>-</w:t>
      </w:r>
      <w:r>
        <w:t>home care sector.</w:t>
      </w:r>
    </w:p>
    <w:p w14:paraId="2E56C15B" w14:textId="1E5DB087" w:rsidR="00E74F7A" w:rsidRDefault="00E74F7A" w:rsidP="00E74F7A">
      <w:pPr>
        <w:pStyle w:val="Body"/>
      </w:pPr>
      <w:r>
        <w:t xml:space="preserve">A key role for the HSR is to investigate allegations of </w:t>
      </w:r>
      <w:r w:rsidR="00434AC8">
        <w:t xml:space="preserve">child </w:t>
      </w:r>
      <w:r w:rsidR="00FA6ABC">
        <w:t xml:space="preserve">physical and sexual </w:t>
      </w:r>
      <w:r>
        <w:t>abuse by carer</w:t>
      </w:r>
      <w:r w:rsidR="00434AC8">
        <w:t>s</w:t>
      </w:r>
      <w:r>
        <w:t xml:space="preserve"> </w:t>
      </w:r>
      <w:r w:rsidR="00434AC8">
        <w:t>that</w:t>
      </w:r>
      <w:r>
        <w:t xml:space="preserve">, if substantiated, may result in the disqualification </w:t>
      </w:r>
      <w:r w:rsidR="00BC3BC5">
        <w:t xml:space="preserve">by the Victorian Suitability Panel </w:t>
      </w:r>
      <w:r>
        <w:t xml:space="preserve">of carers who pose an </w:t>
      </w:r>
      <w:r w:rsidR="00DE6569">
        <w:t xml:space="preserve">unacceptable </w:t>
      </w:r>
      <w:r>
        <w:t>risk of harm to children and young people.</w:t>
      </w:r>
      <w:r w:rsidR="00A45F1B">
        <w:t xml:space="preserve"> </w:t>
      </w:r>
      <w:r w:rsidR="008E7F15">
        <w:t>These investigations may also result in referral of the matter to Victoria P</w:t>
      </w:r>
      <w:r w:rsidR="00E24B9A">
        <w:t>olice and other regulatory bodies</w:t>
      </w:r>
      <w:r w:rsidR="00097170">
        <w:t xml:space="preserve"> where relevant</w:t>
      </w:r>
      <w:r w:rsidR="000906EF">
        <w:t>.</w:t>
      </w:r>
    </w:p>
    <w:p w14:paraId="097713B9" w14:textId="77777777" w:rsidR="00E62B94" w:rsidRDefault="00E62B94" w:rsidP="00E62B94">
      <w:pPr>
        <w:pStyle w:val="Heading3"/>
      </w:pPr>
      <w:r>
        <w:lastRenderedPageBreak/>
        <w:t>Safety screening</w:t>
      </w:r>
    </w:p>
    <w:p w14:paraId="7F8279CD" w14:textId="55FCD7ED" w:rsidR="00E62B94" w:rsidRDefault="00E62B94" w:rsidP="001B0FB5">
      <w:pPr>
        <w:pStyle w:val="Body"/>
      </w:pPr>
      <w:r w:rsidRPr="00906138">
        <w:t xml:space="preserve">Failure to undertake appropriate safety screening </w:t>
      </w:r>
      <w:r>
        <w:t>before</w:t>
      </w:r>
      <w:r w:rsidRPr="00906138">
        <w:t xml:space="preserve"> employ</w:t>
      </w:r>
      <w:r w:rsidR="00AB1C76">
        <w:t>ing staff</w:t>
      </w:r>
      <w:r w:rsidRPr="00906138">
        <w:t xml:space="preserve"> </w:t>
      </w:r>
      <w:r w:rsidR="001B0FB5">
        <w:t xml:space="preserve">directly </w:t>
      </w:r>
      <w:r w:rsidRPr="00906138">
        <w:t xml:space="preserve">places children and </w:t>
      </w:r>
      <w:r>
        <w:t>people experiencing vulnerability</w:t>
      </w:r>
      <w:r w:rsidRPr="00906138">
        <w:t xml:space="preserve"> at risk of abuse</w:t>
      </w:r>
      <w:r>
        <w:t>.</w:t>
      </w:r>
      <w:r w:rsidR="00502FDC">
        <w:t xml:space="preserve"> </w:t>
      </w:r>
      <w:r w:rsidR="001B0FB5">
        <w:t>This</w:t>
      </w:r>
      <w:r>
        <w:t xml:space="preserve"> can </w:t>
      </w:r>
      <w:r w:rsidR="001B0FB5">
        <w:t xml:space="preserve">also </w:t>
      </w:r>
      <w:r>
        <w:t xml:space="preserve">result in organisations having to redirect (often limited) resources to </w:t>
      </w:r>
      <w:proofErr w:type="gramStart"/>
      <w:r>
        <w:t>investigating</w:t>
      </w:r>
      <w:r w:rsidR="005461AC">
        <w:t>,</w:t>
      </w:r>
      <w:r>
        <w:t xml:space="preserve"> and</w:t>
      </w:r>
      <w:proofErr w:type="gramEnd"/>
      <w:r>
        <w:t xml:space="preserve"> implementing additional supports for </w:t>
      </w:r>
      <w:r w:rsidR="005461AC">
        <w:t xml:space="preserve">clients as a result of </w:t>
      </w:r>
      <w:r>
        <w:t>potential or actual abuse</w:t>
      </w:r>
      <w:r w:rsidR="00142943">
        <w:t xml:space="preserve">, </w:t>
      </w:r>
      <w:r w:rsidR="004F756F">
        <w:t>potentially reducing support</w:t>
      </w:r>
      <w:r w:rsidR="00281E89">
        <w:t>s</w:t>
      </w:r>
      <w:r w:rsidR="004F756F">
        <w:t xml:space="preserve"> available for other service users</w:t>
      </w:r>
      <w:r>
        <w:t>.</w:t>
      </w:r>
    </w:p>
    <w:p w14:paraId="4B87A19C" w14:textId="5FE0C878" w:rsidR="00E62B94" w:rsidRDefault="00E62B94" w:rsidP="00E62B94">
      <w:pPr>
        <w:pStyle w:val="Body"/>
      </w:pPr>
      <w:r>
        <w:t xml:space="preserve">Worker screening, whether in the form of </w:t>
      </w:r>
      <w:r w:rsidR="3569762B">
        <w:t xml:space="preserve">reference, </w:t>
      </w:r>
      <w:proofErr w:type="gramStart"/>
      <w:r>
        <w:t>police</w:t>
      </w:r>
      <w:proofErr w:type="gramEnd"/>
      <w:r>
        <w:t xml:space="preserve"> or disqualified carer checks, is a critical frontline strategy designed to reduce the risk of abuse. Appropriate documented procedures and genuine oversight, governance, and staff training are essential to robust systems.</w:t>
      </w:r>
    </w:p>
    <w:p w14:paraId="2D4FCC7E" w14:textId="77777777" w:rsidR="00E62B94" w:rsidRDefault="00E62B94" w:rsidP="00E62B94">
      <w:pPr>
        <w:pStyle w:val="Body"/>
      </w:pPr>
      <w:r>
        <w:t>HSR will investigate instances of failures to undertake safety screening and take enforcement action as appropriate.</w:t>
      </w:r>
    </w:p>
    <w:p w14:paraId="5AFB2956" w14:textId="7B4E760D" w:rsidR="00B127AB" w:rsidRDefault="00EC15B5" w:rsidP="0070081B">
      <w:pPr>
        <w:pStyle w:val="Heading2"/>
      </w:pPr>
      <w:bookmarkStart w:id="11" w:name="_Toc140491210"/>
      <w:bookmarkStart w:id="12" w:name="_Toc81460369"/>
      <w:r>
        <w:t>Enhance</w:t>
      </w:r>
      <w:r w:rsidR="00BA4109">
        <w:t xml:space="preserve"> </w:t>
      </w:r>
      <w:r w:rsidR="00B127AB">
        <w:t>Governance and Management</w:t>
      </w:r>
      <w:bookmarkEnd w:id="11"/>
    </w:p>
    <w:p w14:paraId="706DC1C6" w14:textId="4BC8C9C9" w:rsidR="00B127AB" w:rsidRDefault="00B127AB" w:rsidP="0070081B">
      <w:pPr>
        <w:pStyle w:val="Body"/>
      </w:pPr>
      <w:r>
        <w:t>HSR has identified that poor governance and management practices</w:t>
      </w:r>
      <w:r w:rsidR="005844E3">
        <w:t xml:space="preserve"> in </w:t>
      </w:r>
      <w:r w:rsidR="001D51DA">
        <w:t>duty-holders</w:t>
      </w:r>
      <w:r>
        <w:t xml:space="preserve"> lead to a lack of management oversight of practice and is a driver of harm to service users. Both the Human Services Standards</w:t>
      </w:r>
      <w:r>
        <w:rPr>
          <w:rStyle w:val="FootnoteReference"/>
        </w:rPr>
        <w:footnoteReference w:id="3"/>
      </w:r>
      <w:r>
        <w:t xml:space="preserve"> and the Child Safe Standards have requirements relating to sound governance and management practices. The Social Services Standards will replace the Human Services Standards from 1 July 2024 </w:t>
      </w:r>
      <w:proofErr w:type="gramStart"/>
      <w:r>
        <w:t>and also</w:t>
      </w:r>
      <w:proofErr w:type="gramEnd"/>
      <w:r>
        <w:t xml:space="preserve"> contain similar requirements.</w:t>
      </w:r>
    </w:p>
    <w:p w14:paraId="098B322F" w14:textId="0CED3110" w:rsidR="002E7430" w:rsidRDefault="004E772C">
      <w:pPr>
        <w:pStyle w:val="Body"/>
      </w:pPr>
      <w:r>
        <w:t xml:space="preserve">Depending on the nature of the organisation, </w:t>
      </w:r>
      <w:r w:rsidR="00E827F5">
        <w:t xml:space="preserve">accountability for ensuring compliance with all legislative obligations will typically sit with </w:t>
      </w:r>
      <w:r w:rsidR="00D20254">
        <w:t xml:space="preserve">either a Board of Management or owner/proprietor. </w:t>
      </w:r>
      <w:r w:rsidR="00B127AB">
        <w:t xml:space="preserve"> </w:t>
      </w:r>
      <w:r w:rsidR="00234401">
        <w:t xml:space="preserve">Whatever the structure, </w:t>
      </w:r>
      <w:r w:rsidR="00EC5BB5">
        <w:t>all organisations must have governance and management processes and systems in place</w:t>
      </w:r>
      <w:r w:rsidR="00F776AA">
        <w:t xml:space="preserve">, appropriate to the size and complexity of the organisation, to monitor </w:t>
      </w:r>
      <w:r w:rsidR="002E7430">
        <w:t xml:space="preserve">the effectiveness, </w:t>
      </w:r>
      <w:proofErr w:type="gramStart"/>
      <w:r w:rsidR="002E7430">
        <w:t>quality</w:t>
      </w:r>
      <w:proofErr w:type="gramEnd"/>
      <w:r w:rsidR="002E7430">
        <w:t xml:space="preserve"> and compliance </w:t>
      </w:r>
      <w:r w:rsidR="000F424F">
        <w:t xml:space="preserve">status </w:t>
      </w:r>
      <w:r w:rsidR="002E7430">
        <w:t xml:space="preserve">of its services. </w:t>
      </w:r>
    </w:p>
    <w:p w14:paraId="19964831" w14:textId="06996B1C" w:rsidR="00B127AB" w:rsidRPr="00F063E1" w:rsidRDefault="00B127AB" w:rsidP="004118BC">
      <w:pPr>
        <w:pStyle w:val="Body"/>
      </w:pPr>
      <w:r>
        <w:t xml:space="preserve">HSR will prioritise governance and management requirements in Child Safe Standards assessments and in its risk-based approach to compliance and enforcement against the Human Services Standards. </w:t>
      </w:r>
    </w:p>
    <w:p w14:paraId="4E7C90AB" w14:textId="514BA867" w:rsidR="00E74F7A" w:rsidRPr="00906138" w:rsidRDefault="00E74F7A" w:rsidP="004118BC">
      <w:pPr>
        <w:pStyle w:val="Heading3"/>
      </w:pPr>
      <w:r w:rsidRPr="00906138">
        <w:t>Enhanc</w:t>
      </w:r>
      <w:r w:rsidR="003C3694">
        <w:t>e</w:t>
      </w:r>
      <w:r w:rsidRPr="00906138">
        <w:t xml:space="preserve"> safeguarding </w:t>
      </w:r>
      <w:proofErr w:type="gramStart"/>
      <w:r w:rsidRPr="00906138">
        <w:t>culture</w:t>
      </w:r>
      <w:bookmarkEnd w:id="12"/>
      <w:proofErr w:type="gramEnd"/>
    </w:p>
    <w:p w14:paraId="7219D1E6" w14:textId="4E1693EB" w:rsidR="004002D5" w:rsidRDefault="00E74F7A" w:rsidP="00E74F7A">
      <w:pPr>
        <w:pStyle w:val="Body"/>
      </w:pPr>
      <w:r w:rsidRPr="00D04AF0">
        <w:t>The ability of an organisation to prevent, detect and respond to abuse is heavily influenced by the prevailing culture.</w:t>
      </w:r>
    </w:p>
    <w:p w14:paraId="0817E0DF" w14:textId="1BDB5A8F" w:rsidR="004002D5" w:rsidRDefault="00E74F7A" w:rsidP="00E74F7A">
      <w:pPr>
        <w:pStyle w:val="Body"/>
      </w:pPr>
      <w:r w:rsidRPr="00D04AF0">
        <w:t xml:space="preserve">If safeguarding is front of mind at all levels, especially senior management, it is more likely that systems are protective and issues </w:t>
      </w:r>
      <w:r w:rsidR="00B62C79">
        <w:t xml:space="preserve">will be </w:t>
      </w:r>
      <w:r w:rsidRPr="00D04AF0">
        <w:t>picked up</w:t>
      </w:r>
      <w:r>
        <w:t xml:space="preserve">, </w:t>
      </w:r>
      <w:proofErr w:type="gramStart"/>
      <w:r w:rsidRPr="00D04AF0">
        <w:t>reported</w:t>
      </w:r>
      <w:proofErr w:type="gramEnd"/>
      <w:r>
        <w:t xml:space="preserve"> and </w:t>
      </w:r>
      <w:r w:rsidR="00B62C79">
        <w:t>addressed</w:t>
      </w:r>
      <w:r w:rsidRPr="00D04AF0">
        <w:t>.</w:t>
      </w:r>
      <w:r w:rsidR="004002D5">
        <w:t xml:space="preserve"> </w:t>
      </w:r>
      <w:r>
        <w:t>This includes</w:t>
      </w:r>
      <w:r w:rsidR="004002D5">
        <w:t>:</w:t>
      </w:r>
    </w:p>
    <w:p w14:paraId="47F3B435" w14:textId="4BFD83D4" w:rsidR="004002D5" w:rsidRPr="004002D5" w:rsidRDefault="00E74F7A" w:rsidP="004002D5">
      <w:pPr>
        <w:pStyle w:val="Bullet1"/>
        <w:rPr>
          <w:szCs w:val="21"/>
        </w:rPr>
      </w:pPr>
      <w:r>
        <w:t>prioritising the safety of the people it supports</w:t>
      </w:r>
    </w:p>
    <w:p w14:paraId="1B2BBB70" w14:textId="57B734A8" w:rsidR="004002D5" w:rsidRPr="004002D5" w:rsidRDefault="00E74F7A" w:rsidP="004002D5">
      <w:pPr>
        <w:pStyle w:val="Bullet1"/>
        <w:rPr>
          <w:szCs w:val="21"/>
        </w:rPr>
      </w:pPr>
      <w:r>
        <w:t>understanding the nature and risks of abuse</w:t>
      </w:r>
    </w:p>
    <w:p w14:paraId="45EEB550" w14:textId="01C909A0" w:rsidR="004002D5" w:rsidRPr="004002D5" w:rsidRDefault="00E74F7A" w:rsidP="004002D5">
      <w:pPr>
        <w:pStyle w:val="Bullet1"/>
        <w:rPr>
          <w:szCs w:val="21"/>
        </w:rPr>
      </w:pPr>
      <w:r>
        <w:t xml:space="preserve">taking </w:t>
      </w:r>
      <w:r w:rsidR="00AB322E">
        <w:t xml:space="preserve">and promoting </w:t>
      </w:r>
      <w:r>
        <w:t xml:space="preserve">deliberate steps to protect service </w:t>
      </w:r>
      <w:proofErr w:type="gramStart"/>
      <w:r>
        <w:t>users</w:t>
      </w:r>
      <w:proofErr w:type="gramEnd"/>
      <w:r>
        <w:t xml:space="preserve"> </w:t>
      </w:r>
    </w:p>
    <w:p w14:paraId="158E24A3" w14:textId="4CFB763F" w:rsidR="004002D5" w:rsidRPr="004002D5" w:rsidRDefault="00E74F7A" w:rsidP="004002D5">
      <w:pPr>
        <w:pStyle w:val="Bullet1"/>
        <w:rPr>
          <w:szCs w:val="21"/>
        </w:rPr>
      </w:pPr>
      <w:r>
        <w:t>a commitment to remov</w:t>
      </w:r>
      <w:r w:rsidR="004002D5">
        <w:t>e</w:t>
      </w:r>
      <w:r>
        <w:t xml:space="preserve"> barriers to reporting abuse.</w:t>
      </w:r>
    </w:p>
    <w:p w14:paraId="1BC6C983" w14:textId="651B5E99" w:rsidR="00E74F7A" w:rsidRPr="00D04AF0" w:rsidRDefault="00E74F7A" w:rsidP="002C279F">
      <w:pPr>
        <w:pStyle w:val="Bodyafterbullets"/>
        <w:rPr>
          <w:szCs w:val="21"/>
        </w:rPr>
      </w:pPr>
      <w:r>
        <w:t>A strong safeguarding culture</w:t>
      </w:r>
      <w:r w:rsidRPr="00D04AF0">
        <w:t xml:space="preserve"> protects both the people the service supports and the </w:t>
      </w:r>
      <w:r>
        <w:t>organisation</w:t>
      </w:r>
      <w:r w:rsidRPr="00D04AF0">
        <w:t xml:space="preserve"> itself.</w:t>
      </w:r>
    </w:p>
    <w:p w14:paraId="342D74D1" w14:textId="7BDD63E5" w:rsidR="00E74F7A" w:rsidRPr="00D04AF0" w:rsidRDefault="00E74F7A" w:rsidP="00E74F7A">
      <w:pPr>
        <w:pStyle w:val="Body"/>
      </w:pPr>
      <w:r w:rsidRPr="00D04AF0">
        <w:lastRenderedPageBreak/>
        <w:t xml:space="preserve">HSR </w:t>
      </w:r>
      <w:r w:rsidR="00B62C79">
        <w:t xml:space="preserve">will continue to provide guidance to </w:t>
      </w:r>
      <w:r w:rsidRPr="00D04AF0">
        <w:t xml:space="preserve">organisations </w:t>
      </w:r>
      <w:r w:rsidR="00B62C79">
        <w:t xml:space="preserve">that assists them </w:t>
      </w:r>
      <w:r w:rsidRPr="00D04AF0">
        <w:t>to build an effective and proactive safeguarding culture that promotes protect</w:t>
      </w:r>
      <w:r w:rsidR="004002D5">
        <w:t>ing</w:t>
      </w:r>
      <w:r w:rsidRPr="00D04AF0">
        <w:t xml:space="preserve"> people experiencing vulnerability and </w:t>
      </w:r>
      <w:r w:rsidR="004002D5">
        <w:t xml:space="preserve">will </w:t>
      </w:r>
      <w:r w:rsidRPr="00D04AF0">
        <w:t xml:space="preserve">hold </w:t>
      </w:r>
      <w:r w:rsidR="004002D5">
        <w:t>organisation</w:t>
      </w:r>
      <w:r w:rsidR="002C279F">
        <w:t>s</w:t>
      </w:r>
      <w:r w:rsidR="004002D5">
        <w:t xml:space="preserve"> that don’t</w:t>
      </w:r>
      <w:r w:rsidRPr="00D04AF0">
        <w:t xml:space="preserve"> to account</w:t>
      </w:r>
      <w:r w:rsidR="004002D5">
        <w:t>.</w:t>
      </w:r>
    </w:p>
    <w:p w14:paraId="19840450" w14:textId="77777777" w:rsidR="00E74F7A" w:rsidRDefault="00E74F7A" w:rsidP="001D291D">
      <w:pPr>
        <w:pStyle w:val="Heading3"/>
      </w:pPr>
      <w:r>
        <w:t>Reporting of abuse</w:t>
      </w:r>
    </w:p>
    <w:p w14:paraId="3E95049A" w14:textId="1DF8B53F" w:rsidR="00647F85" w:rsidRDefault="00647F85" w:rsidP="001D291D">
      <w:pPr>
        <w:pStyle w:val="Body"/>
      </w:pPr>
      <w:r>
        <w:t xml:space="preserve">All organisations in-scope of </w:t>
      </w:r>
      <w:r w:rsidR="00085053">
        <w:t xml:space="preserve">Part 3.4 of the </w:t>
      </w:r>
      <w:r w:rsidR="003705E4">
        <w:t>Child</w:t>
      </w:r>
      <w:r w:rsidR="00884195">
        <w:t>ren</w:t>
      </w:r>
      <w:r w:rsidR="003705E4">
        <w:t xml:space="preserve">, Youth and Families Act </w:t>
      </w:r>
      <w:r w:rsidR="000154C0">
        <w:rPr>
          <w:b/>
          <w:bCs/>
        </w:rPr>
        <w:t xml:space="preserve">are required to </w:t>
      </w:r>
      <w:r>
        <w:t xml:space="preserve">report </w:t>
      </w:r>
      <w:r w:rsidR="00762632">
        <w:t xml:space="preserve">to HSR </w:t>
      </w:r>
      <w:r>
        <w:t>allegations of physical or sexual abuse by a</w:t>
      </w:r>
      <w:r w:rsidR="000154C0">
        <w:t xml:space="preserve">n out-of-home </w:t>
      </w:r>
      <w:r>
        <w:t>carer of a person in their care</w:t>
      </w:r>
      <w:r w:rsidR="001040BE">
        <w:rPr>
          <w:rStyle w:val="FootnoteReference"/>
        </w:rPr>
        <w:footnoteReference w:id="4"/>
      </w:r>
      <w:r>
        <w:t xml:space="preserve">. </w:t>
      </w:r>
    </w:p>
    <w:p w14:paraId="282935E6" w14:textId="77777777" w:rsidR="004002D5" w:rsidRDefault="00E74F7A" w:rsidP="00E74F7A">
      <w:pPr>
        <w:pStyle w:val="Body"/>
      </w:pPr>
      <w:r w:rsidRPr="007A0DA7">
        <w:t xml:space="preserve">Failure to report abuse </w:t>
      </w:r>
      <w:r>
        <w:t>in a timely manner</w:t>
      </w:r>
      <w:r w:rsidR="004002D5">
        <w:t>:</w:t>
      </w:r>
    </w:p>
    <w:p w14:paraId="40D2C034" w14:textId="11135629" w:rsidR="004002D5" w:rsidRDefault="00E74F7A" w:rsidP="004002D5">
      <w:pPr>
        <w:pStyle w:val="Bullet1"/>
      </w:pPr>
      <w:r w:rsidRPr="007A0DA7">
        <w:t xml:space="preserve">places children and </w:t>
      </w:r>
      <w:r>
        <w:t>people experiencing vulnerability</w:t>
      </w:r>
      <w:r w:rsidRPr="007A0DA7">
        <w:t xml:space="preserve"> at risk of repeated </w:t>
      </w:r>
      <w:proofErr w:type="gramStart"/>
      <w:r w:rsidRPr="007A0DA7">
        <w:t>abuse</w:t>
      </w:r>
      <w:proofErr w:type="gramEnd"/>
    </w:p>
    <w:p w14:paraId="25DD7856" w14:textId="74F5492F" w:rsidR="00895F7B" w:rsidRDefault="00E74F7A" w:rsidP="004002D5">
      <w:pPr>
        <w:pStyle w:val="Bullet1"/>
      </w:pPr>
      <w:r w:rsidRPr="007A0DA7">
        <w:t xml:space="preserve">prevents </w:t>
      </w:r>
      <w:r w:rsidR="00BF1DC1">
        <w:t xml:space="preserve">the timely provision of supports to the </w:t>
      </w:r>
      <w:r w:rsidR="00895F7B">
        <w:t>victim of the abuse</w:t>
      </w:r>
      <w:r w:rsidR="0023122A">
        <w:t xml:space="preserve"> which can entrench the impact of the abuse, requiring more intensive supports in future.</w:t>
      </w:r>
    </w:p>
    <w:p w14:paraId="2E32A86D" w14:textId="268652F8" w:rsidR="004002D5" w:rsidRDefault="009B282A" w:rsidP="004002D5">
      <w:pPr>
        <w:pStyle w:val="Bullet1"/>
      </w:pPr>
      <w:r>
        <w:t xml:space="preserve">delays and potentially impacts on the </w:t>
      </w:r>
      <w:r w:rsidR="002075DA">
        <w:t xml:space="preserve">investigation of the </w:t>
      </w:r>
      <w:proofErr w:type="gramStart"/>
      <w:r w:rsidR="002075DA">
        <w:t>allegations</w:t>
      </w:r>
      <w:proofErr w:type="gramEnd"/>
      <w:r w:rsidR="00E74F7A" w:rsidRPr="007A0DA7">
        <w:t xml:space="preserve"> </w:t>
      </w:r>
    </w:p>
    <w:p w14:paraId="18339B0D" w14:textId="7DE9184B" w:rsidR="00E74F7A" w:rsidRDefault="00E74F7A" w:rsidP="009F0A19">
      <w:pPr>
        <w:pStyle w:val="Bodyafterbullets"/>
      </w:pPr>
      <w:r>
        <w:t>HSR will continue to support organisations to report instances of abuse in a timely manner</w:t>
      </w:r>
      <w:r w:rsidR="004E347E">
        <w:t xml:space="preserve"> through guidance that </w:t>
      </w:r>
      <w:r w:rsidR="00011552">
        <w:t>helps them</w:t>
      </w:r>
      <w:r w:rsidRPr="00EF3428">
        <w:t xml:space="preserve"> understand the systems they should have in place and what should be reported.</w:t>
      </w:r>
      <w:r>
        <w:t xml:space="preserve"> </w:t>
      </w:r>
    </w:p>
    <w:p w14:paraId="1D1771A0" w14:textId="53B308E5" w:rsidR="00647F85" w:rsidRDefault="00647F85" w:rsidP="00E74F7A">
      <w:pPr>
        <w:pStyle w:val="Body"/>
      </w:pPr>
      <w:r>
        <w:t xml:space="preserve">We </w:t>
      </w:r>
      <w:r w:rsidR="00AF6F27">
        <w:t xml:space="preserve">will consider </w:t>
      </w:r>
      <w:r w:rsidR="00801FB4">
        <w:t xml:space="preserve">all </w:t>
      </w:r>
      <w:r w:rsidR="00AF6F27">
        <w:t xml:space="preserve">regulatory </w:t>
      </w:r>
      <w:r w:rsidR="00DD5691">
        <w:t xml:space="preserve">options, including sanctions, </w:t>
      </w:r>
      <w:r>
        <w:t>to reduce the risk of further harm to people being supported if:</w:t>
      </w:r>
    </w:p>
    <w:p w14:paraId="3AEE99E0" w14:textId="7B0ABF69" w:rsidR="00647F85" w:rsidRDefault="00647F85" w:rsidP="00647F85">
      <w:pPr>
        <w:pStyle w:val="Bullet1"/>
      </w:pPr>
      <w:r>
        <w:t xml:space="preserve">organisations </w:t>
      </w:r>
      <w:r w:rsidR="00E74F7A">
        <w:t xml:space="preserve">fail to report </w:t>
      </w:r>
      <w:proofErr w:type="gramStart"/>
      <w:r w:rsidR="00E74F7A">
        <w:t>abuse</w:t>
      </w:r>
      <w:proofErr w:type="gramEnd"/>
    </w:p>
    <w:p w14:paraId="0ECFF580" w14:textId="47BEECC0" w:rsidR="00E74F7A" w:rsidRPr="00BF764C" w:rsidRDefault="00E74F7A" w:rsidP="009F0A19">
      <w:pPr>
        <w:pStyle w:val="Bullet1"/>
      </w:pPr>
      <w:r>
        <w:t>policies and procedures are inadequate to ensure consistent reporting of abuse</w:t>
      </w:r>
      <w:r w:rsidR="00647F85">
        <w:t>.</w:t>
      </w:r>
    </w:p>
    <w:p w14:paraId="16694608" w14:textId="77777777" w:rsidR="004E7FE8" w:rsidRDefault="004E7FE8" w:rsidP="004E7FE8">
      <w:pPr>
        <w:pStyle w:val="Bullet1"/>
        <w:numPr>
          <w:ilvl w:val="0"/>
          <w:numId w:val="0"/>
        </w:numPr>
      </w:pPr>
      <w:bookmarkStart w:id="13" w:name="_Toc81460370"/>
    </w:p>
    <w:p w14:paraId="5B09F6AE" w14:textId="2F675F99" w:rsidR="00E74F7A" w:rsidRDefault="00E74F7A" w:rsidP="00E74F7A">
      <w:pPr>
        <w:pStyle w:val="Heading2"/>
      </w:pPr>
      <w:bookmarkStart w:id="14" w:name="_Toc140491211"/>
      <w:r>
        <w:t>I</w:t>
      </w:r>
      <w:r w:rsidRPr="00F15CB4">
        <w:t>mprov</w:t>
      </w:r>
      <w:r w:rsidR="00647F85">
        <w:t>e</w:t>
      </w:r>
      <w:r w:rsidRPr="00F15CB4">
        <w:t xml:space="preserve"> </w:t>
      </w:r>
      <w:proofErr w:type="gramStart"/>
      <w:r w:rsidRPr="00F15CB4">
        <w:t>collaboration</w:t>
      </w:r>
      <w:bookmarkEnd w:id="13"/>
      <w:proofErr w:type="gramEnd"/>
      <w:r w:rsidRPr="00F15CB4">
        <w:t xml:space="preserve"> </w:t>
      </w:r>
      <w:bookmarkEnd w:id="14"/>
    </w:p>
    <w:p w14:paraId="7EE0810A" w14:textId="7BE45025" w:rsidR="00647F85" w:rsidRDefault="00E74F7A" w:rsidP="00EE0060">
      <w:pPr>
        <w:pStyle w:val="Body"/>
      </w:pPr>
      <w:r w:rsidRPr="00EE0060">
        <w:t xml:space="preserve">HSR works with many other organisations to share information, gather intelligence, solve </w:t>
      </w:r>
      <w:r w:rsidR="00DF2572">
        <w:t xml:space="preserve">intersecting </w:t>
      </w:r>
      <w:r w:rsidRPr="00EE0060">
        <w:t xml:space="preserve">regulatory </w:t>
      </w:r>
      <w:proofErr w:type="gramStart"/>
      <w:r w:rsidRPr="00EE0060">
        <w:t>problems</w:t>
      </w:r>
      <w:proofErr w:type="gramEnd"/>
      <w:r w:rsidRPr="00EE0060">
        <w:t xml:space="preserve"> or refer issues as appropriate.</w:t>
      </w:r>
    </w:p>
    <w:p w14:paraId="20E193B7" w14:textId="707EC1A1" w:rsidR="00647F85" w:rsidRDefault="00647F85" w:rsidP="00EE0060">
      <w:pPr>
        <w:pStyle w:val="Body"/>
      </w:pPr>
      <w:r>
        <w:t>We</w:t>
      </w:r>
      <w:r w:rsidR="00E74F7A" w:rsidRPr="00EE0060">
        <w:t xml:space="preserve"> work with the department’s funding areas to enable coordinated responses to risk</w:t>
      </w:r>
      <w:r>
        <w:t>.</w:t>
      </w:r>
      <w:r w:rsidR="00E74F7A" w:rsidRPr="00EE0060">
        <w:t xml:space="preserve"> </w:t>
      </w:r>
      <w:r>
        <w:t>We</w:t>
      </w:r>
      <w:r w:rsidRPr="00EE0060">
        <w:t xml:space="preserve"> </w:t>
      </w:r>
      <w:r w:rsidR="00E74F7A" w:rsidRPr="00EE0060">
        <w:t>also engage with stakeholders and client group representatives.</w:t>
      </w:r>
    </w:p>
    <w:p w14:paraId="6DA1BB9D" w14:textId="5CBFFFBA" w:rsidR="00647F85" w:rsidRDefault="00E74F7A" w:rsidP="00EE0060">
      <w:pPr>
        <w:pStyle w:val="Body"/>
      </w:pPr>
      <w:r w:rsidRPr="00EE0060">
        <w:t xml:space="preserve">We will continue to </w:t>
      </w:r>
      <w:r w:rsidR="003C7402">
        <w:t xml:space="preserve">build and strengthen our </w:t>
      </w:r>
      <w:r w:rsidR="00AE0EF8">
        <w:t>collaboration with ot</w:t>
      </w:r>
      <w:r w:rsidRPr="00EE0060">
        <w:t xml:space="preserve">her regulators, </w:t>
      </w:r>
      <w:proofErr w:type="gramStart"/>
      <w:r w:rsidR="00884EE6" w:rsidRPr="00EE0060">
        <w:t>funding</w:t>
      </w:r>
      <w:proofErr w:type="gramEnd"/>
      <w:r w:rsidR="00884EE6" w:rsidRPr="00EE0060">
        <w:t xml:space="preserve"> </w:t>
      </w:r>
      <w:r w:rsidR="00884EE6">
        <w:t xml:space="preserve">and </w:t>
      </w:r>
      <w:r w:rsidRPr="00EE0060">
        <w:t>safeguarding bodies to</w:t>
      </w:r>
      <w:r w:rsidR="00647F85">
        <w:t>:</w:t>
      </w:r>
    </w:p>
    <w:p w14:paraId="70075CAF" w14:textId="2B498CD9" w:rsidR="00647F85" w:rsidRDefault="00E74F7A" w:rsidP="00647F85">
      <w:pPr>
        <w:pStyle w:val="Bullet1"/>
      </w:pPr>
      <w:r w:rsidRPr="00EE0060">
        <w:t>address gaps and overlaps</w:t>
      </w:r>
    </w:p>
    <w:p w14:paraId="4D1D0980" w14:textId="224260BC" w:rsidR="00647F85" w:rsidRDefault="00E74F7A" w:rsidP="00647F85">
      <w:pPr>
        <w:pStyle w:val="Bullet1"/>
      </w:pPr>
      <w:r w:rsidRPr="00EE0060">
        <w:t xml:space="preserve">improve </w:t>
      </w:r>
      <w:r w:rsidR="004D46BE">
        <w:t xml:space="preserve">the quality and breadth of </w:t>
      </w:r>
      <w:proofErr w:type="gramStart"/>
      <w:r w:rsidRPr="00EE0060">
        <w:t>intelligence</w:t>
      </w:r>
      <w:proofErr w:type="gramEnd"/>
    </w:p>
    <w:p w14:paraId="21849E28" w14:textId="73E467D3" w:rsidR="00647F85" w:rsidRDefault="00E74F7A" w:rsidP="00647F85">
      <w:pPr>
        <w:pStyle w:val="Bullet1"/>
      </w:pPr>
      <w:r w:rsidRPr="00EE0060">
        <w:t xml:space="preserve">identify opportunities to reduce regulatory </w:t>
      </w:r>
      <w:proofErr w:type="gramStart"/>
      <w:r w:rsidRPr="00EE0060">
        <w:t>burden</w:t>
      </w:r>
      <w:proofErr w:type="gramEnd"/>
    </w:p>
    <w:p w14:paraId="22071E69" w14:textId="576AB3D0" w:rsidR="00E74F7A" w:rsidRPr="00EE0060" w:rsidRDefault="003D6D15" w:rsidP="00DA6C0E">
      <w:pPr>
        <w:pStyle w:val="Bullet1"/>
      </w:pPr>
      <w:r>
        <w:t xml:space="preserve">further </w:t>
      </w:r>
      <w:r w:rsidR="00E74F7A" w:rsidRPr="00EE0060">
        <w:t>strengthen</w:t>
      </w:r>
      <w:r w:rsidR="00EE0060" w:rsidRPr="00EE0060">
        <w:t xml:space="preserve"> </w:t>
      </w:r>
      <w:r w:rsidR="00E74F7A" w:rsidRPr="00EE0060">
        <w:t>escalation and referral approaches.</w:t>
      </w:r>
    </w:p>
    <w:p w14:paraId="30A3F517" w14:textId="0DE5724D" w:rsidR="0055582F" w:rsidRDefault="0055582F" w:rsidP="00DA6C0E">
      <w:pPr>
        <w:pStyle w:val="Bodyafterbullets"/>
      </w:pPr>
      <w:r>
        <w:t xml:space="preserve">In particular, we will </w:t>
      </w:r>
      <w:r w:rsidR="00E52958">
        <w:t xml:space="preserve">continue to </w:t>
      </w:r>
      <w:r>
        <w:t xml:space="preserve">work with </w:t>
      </w:r>
      <w:r w:rsidR="00E52958">
        <w:t xml:space="preserve">fellow Child Safe Standards regulators to </w:t>
      </w:r>
      <w:r w:rsidR="0041432E">
        <w:t xml:space="preserve">build appropriate consistency in our regulatory </w:t>
      </w:r>
      <w:proofErr w:type="gramStart"/>
      <w:r w:rsidR="0041432E">
        <w:t>approaches, and</w:t>
      </w:r>
      <w:proofErr w:type="gramEnd"/>
      <w:r w:rsidR="0041432E">
        <w:t xml:space="preserve"> </w:t>
      </w:r>
      <w:r w:rsidR="000421A6">
        <w:t>coordinate in areas of overlap.</w:t>
      </w:r>
    </w:p>
    <w:p w14:paraId="093674D9" w14:textId="1A0E4619" w:rsidR="00E74F7A" w:rsidRDefault="00E74F7A" w:rsidP="00DA6C0E">
      <w:pPr>
        <w:pStyle w:val="Bodyafterbullets"/>
      </w:pPr>
      <w:r w:rsidRPr="00EE0060">
        <w:t xml:space="preserve">We will continue to work in a respectful and constructive manner with service providers </w:t>
      </w:r>
      <w:r w:rsidR="00EE0060" w:rsidRPr="00EE0060">
        <w:t>to</w:t>
      </w:r>
      <w:r w:rsidRPr="00EE0060">
        <w:t xml:space="preserve"> maximise compliance and, ultimately, to improve outcomes for people </w:t>
      </w:r>
      <w:r w:rsidR="0045298A">
        <w:t>receiving</w:t>
      </w:r>
      <w:r w:rsidRPr="00EE0060">
        <w:t xml:space="preserve"> services.</w:t>
      </w:r>
    </w:p>
    <w:p w14:paraId="398C9363" w14:textId="79408871" w:rsidR="003221F4" w:rsidRPr="00EE0060" w:rsidRDefault="00722EAF" w:rsidP="00DA6C0E">
      <w:pPr>
        <w:pStyle w:val="Bodyafterbullets"/>
      </w:pPr>
      <w:r>
        <w:t xml:space="preserve">In supporting </w:t>
      </w:r>
      <w:r w:rsidR="00D43E3D">
        <w:t>our</w:t>
      </w:r>
      <w:r>
        <w:t xml:space="preserve"> commitment</w:t>
      </w:r>
      <w:r w:rsidRPr="007A1366">
        <w:t xml:space="preserve"> to increase Aboriginal self-determination for Aboriginal people</w:t>
      </w:r>
      <w:r>
        <w:t>, we will proactively engage with Aboriginal communities to inform our regulatory approach.</w:t>
      </w:r>
    </w:p>
    <w:p w14:paraId="64C6E26A" w14:textId="77777777" w:rsidR="006F1E4E" w:rsidRDefault="006F1E4E" w:rsidP="006F1E4E">
      <w:pPr>
        <w:pStyle w:val="Heading3"/>
      </w:pPr>
      <w:r>
        <w:lastRenderedPageBreak/>
        <w:t>Interface with the National Disability Insurance Scheme</w:t>
      </w:r>
    </w:p>
    <w:p w14:paraId="3CE8DE4A" w14:textId="77777777" w:rsidR="006F1E4E" w:rsidRDefault="006F1E4E" w:rsidP="006F1E4E">
      <w:pPr>
        <w:pStyle w:val="Body"/>
      </w:pPr>
      <w:r>
        <w:t>T</w:t>
      </w:r>
      <w:r w:rsidRPr="00B4371F">
        <w:t>he implementation of the NDIS has resulted in a significant shift in the range and availability of disability</w:t>
      </w:r>
      <w:r>
        <w:t>-</w:t>
      </w:r>
      <w:r w:rsidRPr="00B4371F">
        <w:t>related supports</w:t>
      </w:r>
      <w:r>
        <w:t xml:space="preserve">. Organisations that provide these supports are expanding their business models, new forms of accommodation are arising, and the interface between the NDIS and other services is becoming more complicated. </w:t>
      </w:r>
    </w:p>
    <w:p w14:paraId="4CA4984B" w14:textId="77777777" w:rsidR="006F1E4E" w:rsidRDefault="006F1E4E" w:rsidP="006F1E4E">
      <w:pPr>
        <w:pStyle w:val="Body"/>
      </w:pPr>
      <w:r>
        <w:t xml:space="preserve">The right of individuals to choose their services providers is enshrined in legislation at both the state and national level. </w:t>
      </w:r>
    </w:p>
    <w:p w14:paraId="61736629" w14:textId="77777777" w:rsidR="006F1E4E" w:rsidRDefault="006F1E4E" w:rsidP="006F1E4E">
      <w:pPr>
        <w:pStyle w:val="Body"/>
      </w:pPr>
      <w:r>
        <w:t xml:space="preserve">HSR will provide additional guidance on the expectations of proprietors of supported residential services (SRS) to support them to comply with their obligations. </w:t>
      </w:r>
      <w:r w:rsidRPr="00B4371F">
        <w:t>The HSR will continue to investigate issues such a</w:t>
      </w:r>
      <w:r>
        <w:t>s:</w:t>
      </w:r>
    </w:p>
    <w:p w14:paraId="232328D5" w14:textId="77777777" w:rsidR="006F1E4E" w:rsidRDefault="006F1E4E" w:rsidP="006F1E4E">
      <w:pPr>
        <w:pStyle w:val="Bullet1"/>
      </w:pPr>
      <w:r w:rsidRPr="00B4371F">
        <w:t xml:space="preserve">restricting the rights of SRS residents to choose or have access to their NDIS </w:t>
      </w:r>
      <w:proofErr w:type="gramStart"/>
      <w:r w:rsidRPr="00B4371F">
        <w:t>provider</w:t>
      </w:r>
      <w:proofErr w:type="gramEnd"/>
    </w:p>
    <w:p w14:paraId="16E24979" w14:textId="77777777" w:rsidR="006F1E4E" w:rsidRDefault="006F1E4E" w:rsidP="006F1E4E">
      <w:pPr>
        <w:pStyle w:val="Bullet1"/>
      </w:pPr>
      <w:r w:rsidRPr="00B4371F">
        <w:t xml:space="preserve">charging services to the NDIS that should be provided under the </w:t>
      </w:r>
      <w:r w:rsidRPr="00487B93">
        <w:rPr>
          <w:i/>
          <w:iCs/>
        </w:rPr>
        <w:t xml:space="preserve">SRS residential and services </w:t>
      </w:r>
      <w:proofErr w:type="gramStart"/>
      <w:r w:rsidRPr="00487B93">
        <w:rPr>
          <w:i/>
          <w:iCs/>
        </w:rPr>
        <w:t>agreement</w:t>
      </w:r>
      <w:proofErr w:type="gramEnd"/>
    </w:p>
    <w:p w14:paraId="0229757C" w14:textId="77777777" w:rsidR="006F1E4E" w:rsidRDefault="006F1E4E" w:rsidP="006F1E4E">
      <w:pPr>
        <w:pStyle w:val="Bullet1"/>
      </w:pPr>
      <w:r>
        <w:t xml:space="preserve">SRS residents being charged twice, through SRS fees and their NDIS support package, for the same </w:t>
      </w:r>
      <w:proofErr w:type="gramStart"/>
      <w:r>
        <w:t>supports</w:t>
      </w:r>
      <w:proofErr w:type="gramEnd"/>
    </w:p>
    <w:p w14:paraId="0B8CD750" w14:textId="77777777" w:rsidR="006F1E4E" w:rsidRDefault="006F1E4E" w:rsidP="006F1E4E">
      <w:pPr>
        <w:pStyle w:val="Bullet1"/>
      </w:pPr>
      <w:r w:rsidRPr="00B4371F">
        <w:t>not delivering</w:t>
      </w:r>
      <w:r>
        <w:t xml:space="preserve"> or facilitating the provision of</w:t>
      </w:r>
      <w:r w:rsidRPr="00B4371F">
        <w:t xml:space="preserve"> supports as required in a resident’s ongoing support </w:t>
      </w:r>
      <w:proofErr w:type="gramStart"/>
      <w:r w:rsidRPr="00B4371F">
        <w:t>plan</w:t>
      </w:r>
      <w:proofErr w:type="gramEnd"/>
    </w:p>
    <w:p w14:paraId="68821BC7" w14:textId="77777777" w:rsidR="005A3443" w:rsidRDefault="006F1E4E" w:rsidP="006F1E4E">
      <w:pPr>
        <w:pStyle w:val="Bodyafterbullets"/>
      </w:pPr>
      <w:r>
        <w:t xml:space="preserve">We will also refer reports of alleged fraud or </w:t>
      </w:r>
      <w:proofErr w:type="gramStart"/>
      <w:r>
        <w:t>poor quality</w:t>
      </w:r>
      <w:proofErr w:type="gramEnd"/>
      <w:r>
        <w:t xml:space="preserve"> NDIS supports to the National Disability Insurance Agency (NDIA) and NDIS Quality and Safeguards Commission</w:t>
      </w:r>
      <w:r w:rsidR="005A3443">
        <w:t>.</w:t>
      </w:r>
    </w:p>
    <w:p w14:paraId="352CD38F" w14:textId="22C0C3DD" w:rsidR="006F1E4E" w:rsidRPr="00B4371F" w:rsidRDefault="005A3443" w:rsidP="006F1E4E">
      <w:pPr>
        <w:pStyle w:val="Bodyafterbullets"/>
      </w:pPr>
      <w:r>
        <w:t xml:space="preserve">In line with our </w:t>
      </w:r>
      <w:r w:rsidR="00D65944">
        <w:t xml:space="preserve">responsibilities as a </w:t>
      </w:r>
      <w:r>
        <w:t>sector regulator for the Child Safe Standards, we will also work with the NDIA</w:t>
      </w:r>
      <w:r w:rsidR="00D65944">
        <w:t xml:space="preserve"> and NDIS Quality and Safeguards Commission </w:t>
      </w:r>
      <w:r w:rsidR="00C32E4B">
        <w:t xml:space="preserve">as part of our oversight of </w:t>
      </w:r>
      <w:r w:rsidR="002E65F8">
        <w:t xml:space="preserve">the implementation of Child Safe Standards in NDIS funded supports. </w:t>
      </w:r>
    </w:p>
    <w:p w14:paraId="4F432C31" w14:textId="77777777" w:rsidR="006F1E4E" w:rsidRPr="00EE0060" w:rsidRDefault="006F1E4E" w:rsidP="00DA6C0E">
      <w:pPr>
        <w:pStyle w:val="Bodyafterbullets"/>
      </w:pPr>
    </w:p>
    <w:p w14:paraId="092D6AD9" w14:textId="1A46D02D" w:rsidR="00E74F7A" w:rsidRPr="005B5F23" w:rsidRDefault="00E74F7A" w:rsidP="00E74F7A">
      <w:pPr>
        <w:pStyle w:val="Heading2"/>
      </w:pPr>
      <w:bookmarkStart w:id="15" w:name="_Toc81460371"/>
      <w:bookmarkStart w:id="16" w:name="_Toc140491212"/>
      <w:r w:rsidRPr="005B5F23">
        <w:t>Manag</w:t>
      </w:r>
      <w:r w:rsidR="0045298A">
        <w:t>e</w:t>
      </w:r>
      <w:r w:rsidRPr="005B5F23">
        <w:t xml:space="preserve"> and prepar</w:t>
      </w:r>
      <w:r w:rsidR="0045298A">
        <w:t>e</w:t>
      </w:r>
      <w:r w:rsidRPr="005B5F23">
        <w:t xml:space="preserve"> for </w:t>
      </w:r>
      <w:proofErr w:type="gramStart"/>
      <w:r w:rsidRPr="005B5F23">
        <w:t>change</w:t>
      </w:r>
      <w:bookmarkEnd w:id="15"/>
      <w:bookmarkEnd w:id="16"/>
      <w:proofErr w:type="gramEnd"/>
      <w:r w:rsidRPr="005B5F23">
        <w:t xml:space="preserve"> </w:t>
      </w:r>
    </w:p>
    <w:p w14:paraId="4E1D5900" w14:textId="319413A9" w:rsidR="00802E96" w:rsidRDefault="00802E96" w:rsidP="00802E96">
      <w:pPr>
        <w:pStyle w:val="Heading3"/>
      </w:pPr>
      <w:r>
        <w:t>Reviewing our approach to the regulation of Aboriginal cultural safety</w:t>
      </w:r>
    </w:p>
    <w:p w14:paraId="56EC2FE3" w14:textId="239C7C1F" w:rsidR="00802E96" w:rsidRPr="002E79BE" w:rsidRDefault="00CC71D7" w:rsidP="00802E96">
      <w:pPr>
        <w:pStyle w:val="Body"/>
      </w:pPr>
      <w:proofErr w:type="gramStart"/>
      <w:r>
        <w:t>T</w:t>
      </w:r>
      <w:r w:rsidR="003A5721">
        <w:t>he majority of</w:t>
      </w:r>
      <w:proofErr w:type="gramEnd"/>
      <w:r w:rsidR="003A5721">
        <w:t xml:space="preserve"> organisations</w:t>
      </w:r>
      <w:r w:rsidR="0005197C">
        <w:t xml:space="preserve"> regulated by the HSR </w:t>
      </w:r>
      <w:r>
        <w:t xml:space="preserve">are required </w:t>
      </w:r>
      <w:r w:rsidR="0005197C">
        <w:t xml:space="preserve">to </w:t>
      </w:r>
      <w:r w:rsidR="00802E96" w:rsidRPr="002E79BE">
        <w:t>demonstrate an understanding of and ability to promote and uphold Aboriginal cultural safety</w:t>
      </w:r>
      <w:r w:rsidR="0005197C">
        <w:t xml:space="preserve"> in line with the </w:t>
      </w:r>
      <w:r w:rsidR="00802E96" w:rsidRPr="002E79BE">
        <w:t xml:space="preserve">Child Safe Standards </w:t>
      </w:r>
      <w:r w:rsidR="008A6D12">
        <w:t>and/</w:t>
      </w:r>
      <w:r w:rsidR="00802E96" w:rsidRPr="002E79BE">
        <w:t>or</w:t>
      </w:r>
      <w:r w:rsidR="0005197C">
        <w:t xml:space="preserve"> Human Services Standards</w:t>
      </w:r>
      <w:r w:rsidR="00802E96" w:rsidRPr="002E79BE">
        <w:t>.</w:t>
      </w:r>
    </w:p>
    <w:p w14:paraId="5E474FCC" w14:textId="19F83DBC" w:rsidR="00CB5466" w:rsidRDefault="008241F3" w:rsidP="00802E96">
      <w:pPr>
        <w:pStyle w:val="Body"/>
      </w:pPr>
      <w:r>
        <w:t xml:space="preserve">In the context of the move towards a Victorian Treaty with </w:t>
      </w:r>
      <w:r w:rsidR="00BD763A">
        <w:t xml:space="preserve">First Peoples, and the </w:t>
      </w:r>
      <w:proofErr w:type="spellStart"/>
      <w:r w:rsidR="00BD763A">
        <w:t>Yoorrook</w:t>
      </w:r>
      <w:proofErr w:type="spellEnd"/>
      <w:r w:rsidR="00BD763A">
        <w:t xml:space="preserve"> </w:t>
      </w:r>
      <w:r w:rsidR="009548AE">
        <w:t xml:space="preserve">Justice Commission, </w:t>
      </w:r>
      <w:r w:rsidR="00802E96" w:rsidRPr="002E79BE">
        <w:t xml:space="preserve">HSR is committed to the principle that Aboriginal people </w:t>
      </w:r>
      <w:r w:rsidR="003C4721">
        <w:t>are embedd</w:t>
      </w:r>
      <w:r w:rsidR="009900CC">
        <w:t>e</w:t>
      </w:r>
      <w:r w:rsidR="003C4721">
        <w:t xml:space="preserve">d in the </w:t>
      </w:r>
      <w:r w:rsidR="00802E96" w:rsidRPr="002E79BE">
        <w:t>regulatory oversight of Aboriginal cultural safety in organisations.</w:t>
      </w:r>
      <w:r w:rsidR="00AD5971">
        <w:t xml:space="preserve"> In line with this, we have </w:t>
      </w:r>
      <w:r w:rsidR="0067618E">
        <w:t xml:space="preserve">created the new </w:t>
      </w:r>
      <w:r w:rsidR="00536616">
        <w:t xml:space="preserve">designated </w:t>
      </w:r>
      <w:r w:rsidR="0067618E">
        <w:t xml:space="preserve">role of Manager, Aboriginal Cultural Safety and Engagement </w:t>
      </w:r>
      <w:r w:rsidR="00FA73DA">
        <w:t xml:space="preserve">to lead and </w:t>
      </w:r>
      <w:r w:rsidR="00C70E51">
        <w:t>shape our work in t</w:t>
      </w:r>
      <w:r w:rsidR="004F3C8A">
        <w:t>his area</w:t>
      </w:r>
      <w:r w:rsidR="00F17629">
        <w:t>.</w:t>
      </w:r>
    </w:p>
    <w:p w14:paraId="211CD927" w14:textId="6742130B" w:rsidR="00802E96" w:rsidRPr="00AC7675" w:rsidRDefault="00802E96" w:rsidP="00802E96">
      <w:pPr>
        <w:pStyle w:val="Body"/>
      </w:pPr>
      <w:r w:rsidRPr="00802E96">
        <w:t xml:space="preserve">We will work with the Aboriginal community and organisations to </w:t>
      </w:r>
      <w:r w:rsidRPr="00AC7675">
        <w:t xml:space="preserve">review, </w:t>
      </w:r>
      <w:proofErr w:type="gramStart"/>
      <w:r w:rsidRPr="00AC7675">
        <w:t>progress</w:t>
      </w:r>
      <w:proofErr w:type="gramEnd"/>
      <w:r w:rsidRPr="00AC7675">
        <w:t xml:space="preserve"> and embed a culturally </w:t>
      </w:r>
      <w:r w:rsidR="00E812AF">
        <w:t>appropriate</w:t>
      </w:r>
      <w:r w:rsidRPr="00AC7675">
        <w:t xml:space="preserve">, respectful and effective approach </w:t>
      </w:r>
      <w:r w:rsidR="00DE7FEB">
        <w:t xml:space="preserve">based on the principle of continuous improvement. </w:t>
      </w:r>
      <w:r w:rsidRPr="00AC7675">
        <w:t xml:space="preserve"> </w:t>
      </w:r>
    </w:p>
    <w:p w14:paraId="565538FE" w14:textId="573BF059" w:rsidR="00E74F7A" w:rsidRPr="009F6565" w:rsidRDefault="00084098" w:rsidP="00EE0060">
      <w:pPr>
        <w:pStyle w:val="Heading3"/>
      </w:pPr>
      <w:r>
        <w:lastRenderedPageBreak/>
        <w:t>Prepare for the p</w:t>
      </w:r>
      <w:r w:rsidR="00E74F7A" w:rsidRPr="009F6565">
        <w:t xml:space="preserve">hasing out of </w:t>
      </w:r>
      <w:r w:rsidR="0045298A">
        <w:t>c</w:t>
      </w:r>
      <w:r w:rsidR="00E74F7A" w:rsidRPr="007C1C1B">
        <w:t>ertification</w:t>
      </w:r>
      <w:r w:rsidR="00E74F7A">
        <w:t xml:space="preserve"> against the Human Services Standards</w:t>
      </w:r>
    </w:p>
    <w:p w14:paraId="7F14E103" w14:textId="287A9CC1" w:rsidR="0045298A" w:rsidRDefault="00EA1159" w:rsidP="00E74F7A">
      <w:pPr>
        <w:pStyle w:val="Body"/>
      </w:pPr>
      <w:r>
        <w:t>As part of t</w:t>
      </w:r>
      <w:r w:rsidR="00E74F7A">
        <w:t xml:space="preserve">he </w:t>
      </w:r>
      <w:r w:rsidR="00CE3FA0">
        <w:t xml:space="preserve">implementation of the </w:t>
      </w:r>
      <w:r w:rsidR="00E74F7A" w:rsidRPr="006660C4">
        <w:rPr>
          <w:i/>
        </w:rPr>
        <w:t>Social Services Regulation Act 2021</w:t>
      </w:r>
      <w:r w:rsidR="00E74F7A">
        <w:t xml:space="preserve"> </w:t>
      </w:r>
      <w:r>
        <w:t xml:space="preserve">the </w:t>
      </w:r>
      <w:r w:rsidDel="006434C3">
        <w:t xml:space="preserve">regulatory </w:t>
      </w:r>
      <w:r>
        <w:t>requirement for in-scope service providers to achieve certification against the Human Services Standards (HSS) via an audit conducted by an independent review body will be phased out from 1 January 2024.</w:t>
      </w:r>
    </w:p>
    <w:p w14:paraId="1E78524D" w14:textId="078C28CD" w:rsidR="00E74F7A" w:rsidRDefault="004033CC" w:rsidP="00E74F7A">
      <w:pPr>
        <w:pStyle w:val="Body"/>
      </w:pPr>
      <w:r>
        <w:t xml:space="preserve">In-scope organisations are still required to </w:t>
      </w:r>
      <w:r w:rsidR="005F7971">
        <w:t xml:space="preserve">maintain compliance with the HSS, and the HSR </w:t>
      </w:r>
      <w:r w:rsidR="00C70B6B">
        <w:t xml:space="preserve">will use a </w:t>
      </w:r>
      <w:r w:rsidR="002B539D">
        <w:t>risk-based</w:t>
      </w:r>
      <w:r w:rsidR="00C70B6B">
        <w:t xml:space="preserve"> </w:t>
      </w:r>
      <w:r w:rsidR="00BA007C">
        <w:t xml:space="preserve">approach to </w:t>
      </w:r>
      <w:r w:rsidR="005F7971">
        <w:t xml:space="preserve">compliance </w:t>
      </w:r>
      <w:r w:rsidR="00C2753C">
        <w:t xml:space="preserve">monitoring </w:t>
      </w:r>
      <w:r w:rsidR="005F7971">
        <w:t xml:space="preserve">and enforcement </w:t>
      </w:r>
      <w:r w:rsidR="00C70B6B">
        <w:t xml:space="preserve">against the </w:t>
      </w:r>
      <w:r w:rsidR="00BA007C">
        <w:t>HSS.</w:t>
      </w:r>
      <w:r w:rsidR="002B539D">
        <w:t xml:space="preserve"> </w:t>
      </w:r>
      <w:r w:rsidR="00C16657">
        <w:t xml:space="preserve">Regulated entities should </w:t>
      </w:r>
      <w:r w:rsidR="00345A72">
        <w:t>consider how they will maintain and monitor compliance</w:t>
      </w:r>
      <w:r w:rsidR="00697493">
        <w:t xml:space="preserve"> in the absence of compulsory </w:t>
      </w:r>
      <w:r w:rsidR="009F0389">
        <w:t xml:space="preserve">independent </w:t>
      </w:r>
      <w:r w:rsidR="00697493">
        <w:t>certification</w:t>
      </w:r>
      <w:r w:rsidR="00345A72">
        <w:t>.</w:t>
      </w:r>
      <w:r w:rsidR="00E74F7A">
        <w:t xml:space="preserve"> </w:t>
      </w:r>
    </w:p>
    <w:p w14:paraId="29DC2E71" w14:textId="0CBB1B73" w:rsidR="00E74F7A" w:rsidRDefault="00E74F7A" w:rsidP="00E74F7A">
      <w:pPr>
        <w:pStyle w:val="Heading2"/>
      </w:pPr>
      <w:bookmarkStart w:id="17" w:name="_Toc81460373"/>
      <w:bookmarkStart w:id="18" w:name="_Toc140491213"/>
      <w:r>
        <w:t xml:space="preserve">Build our </w:t>
      </w:r>
      <w:proofErr w:type="gramStart"/>
      <w:r>
        <w:t>capability</w:t>
      </w:r>
      <w:bookmarkEnd w:id="17"/>
      <w:bookmarkEnd w:id="18"/>
      <w:proofErr w:type="gramEnd"/>
    </w:p>
    <w:p w14:paraId="7EEE742C" w14:textId="43E725B6" w:rsidR="00E74F7A" w:rsidRDefault="00E74F7A" w:rsidP="00E74F7A">
      <w:pPr>
        <w:pStyle w:val="Body"/>
      </w:pPr>
      <w:r>
        <w:t xml:space="preserve">HSR will </w:t>
      </w:r>
      <w:r w:rsidR="00315BCF">
        <w:t xml:space="preserve">continue to </w:t>
      </w:r>
      <w:r>
        <w:t xml:space="preserve">further strengthen the core capabilities necessary to be an effective regulator. </w:t>
      </w:r>
      <w:r w:rsidR="00CB0EDA">
        <w:t>We will:</w:t>
      </w:r>
    </w:p>
    <w:p w14:paraId="198B5B9A" w14:textId="5C0160F0" w:rsidR="00E74F7A" w:rsidRPr="005B5F23" w:rsidRDefault="00E74F7A" w:rsidP="00E74F7A">
      <w:pPr>
        <w:pStyle w:val="Bullet1"/>
      </w:pPr>
      <w:r w:rsidRPr="005B5F23">
        <w:t>further develop internal systems and analytics capabilities for a data-driven</w:t>
      </w:r>
      <w:r w:rsidR="002D210D">
        <w:t>,</w:t>
      </w:r>
      <w:r w:rsidRPr="005B5F23">
        <w:t xml:space="preserve"> risk-based approach to target our resources most effectively</w:t>
      </w:r>
      <w:r>
        <w:t>, maximising our harm prevention activities and minimising impact on good operators</w:t>
      </w:r>
    </w:p>
    <w:p w14:paraId="1245E8EE" w14:textId="03810739" w:rsidR="00E74F7A" w:rsidRPr="005B5F23" w:rsidRDefault="00E74F7A" w:rsidP="00E74F7A">
      <w:pPr>
        <w:pStyle w:val="Bullet1"/>
      </w:pPr>
      <w:r w:rsidRPr="005B5F23">
        <w:t>us</w:t>
      </w:r>
      <w:r w:rsidR="002D210D">
        <w:t>e</w:t>
      </w:r>
      <w:r w:rsidRPr="005B5F23">
        <w:t xml:space="preserve"> the full suite of regulatory tools available to us</w:t>
      </w:r>
      <w:r w:rsidR="002D210D">
        <w:t>,</w:t>
      </w:r>
      <w:r w:rsidRPr="005B5F23">
        <w:t xml:space="preserve"> including infringements and prosecutions as appropriate</w:t>
      </w:r>
      <w:r>
        <w:t xml:space="preserve"> to </w:t>
      </w:r>
      <w:r w:rsidR="000F5431">
        <w:t xml:space="preserve">bring </w:t>
      </w:r>
      <w:r>
        <w:t xml:space="preserve">poor operators </w:t>
      </w:r>
      <w:r w:rsidR="003C5C9B">
        <w:t xml:space="preserve">up to required compliance standards </w:t>
      </w:r>
      <w:r w:rsidR="00375F40">
        <w:t xml:space="preserve">to </w:t>
      </w:r>
      <w:r w:rsidR="007A78E9">
        <w:t>m</w:t>
      </w:r>
      <w:r w:rsidR="00D51C82">
        <w:t xml:space="preserve">inimise the risk of harm and protect the rights of </w:t>
      </w:r>
      <w:r>
        <w:t>service users</w:t>
      </w:r>
      <w:r w:rsidR="00215CF8">
        <w:t>.</w:t>
      </w:r>
    </w:p>
    <w:p w14:paraId="1F05BEF7" w14:textId="52D54B9F" w:rsidR="00E74F7A" w:rsidRDefault="00A13342" w:rsidP="00E74F7A">
      <w:pPr>
        <w:pStyle w:val="Bullet1"/>
      </w:pPr>
      <w:r>
        <w:t>continue to</w:t>
      </w:r>
      <w:r w:rsidR="00E74F7A">
        <w:t xml:space="preserve"> </w:t>
      </w:r>
      <w:r w:rsidR="00DB084E">
        <w:t xml:space="preserve">work jointly with and </w:t>
      </w:r>
      <w:r w:rsidR="00E74F7A">
        <w:t>strengthen referral processes to</w:t>
      </w:r>
      <w:r w:rsidR="00DB084E">
        <w:t>,</w:t>
      </w:r>
      <w:r w:rsidR="00E74F7A">
        <w:t xml:space="preserve"> regulatory peers and safeguarding and funding bodies to effectively coordinate responses to issues that may </w:t>
      </w:r>
      <w:r w:rsidR="001C60DA">
        <w:t xml:space="preserve">be in-scope of multiple </w:t>
      </w:r>
      <w:r w:rsidR="00E74F7A">
        <w:t>jurisdiction</w:t>
      </w:r>
      <w:r w:rsidR="005069C4">
        <w:t>s</w:t>
      </w:r>
      <w:r w:rsidR="00E74F7A">
        <w:t>.</w:t>
      </w:r>
    </w:p>
    <w:p w14:paraId="3C4B93C9" w14:textId="6033531F" w:rsidR="00B10E75" w:rsidRDefault="00276B47" w:rsidP="00E74F7A">
      <w:pPr>
        <w:pStyle w:val="Bullet1"/>
      </w:pPr>
      <w:r>
        <w:t xml:space="preserve">Work with other areas of the department to prepare for the transition </w:t>
      </w:r>
      <w:r w:rsidR="00274F6D">
        <w:t xml:space="preserve">to the Social Services Regulator </w:t>
      </w:r>
      <w:r w:rsidR="00100D9A">
        <w:t xml:space="preserve">and to develop the capability of </w:t>
      </w:r>
      <w:r w:rsidR="004B781B">
        <w:t>r</w:t>
      </w:r>
      <w:r w:rsidR="003D4F86">
        <w:t xml:space="preserve">egulatory </w:t>
      </w:r>
      <w:r w:rsidR="004B781B">
        <w:t>o</w:t>
      </w:r>
      <w:r w:rsidR="003D4F86">
        <w:t xml:space="preserve">fficers in line with the </w:t>
      </w:r>
      <w:r w:rsidR="00D54479">
        <w:t xml:space="preserve">expectations and responsibilities of the new regulator. </w:t>
      </w:r>
    </w:p>
    <w:p w14:paraId="67AE838A" w14:textId="77777777" w:rsidR="00C72154" w:rsidRDefault="00C72154">
      <w:pPr>
        <w:spacing w:after="0" w:line="240" w:lineRule="auto"/>
        <w:rPr>
          <w:rFonts w:eastAsia="MS Gothic" w:cs="Arial"/>
          <w:bCs/>
          <w:color w:val="201547"/>
          <w:kern w:val="32"/>
          <w:sz w:val="44"/>
          <w:szCs w:val="44"/>
        </w:rPr>
      </w:pPr>
      <w:bookmarkStart w:id="19" w:name="_Toc81460374"/>
      <w:bookmarkStart w:id="20" w:name="_Toc140491214"/>
      <w:r>
        <w:br w:type="page"/>
      </w:r>
    </w:p>
    <w:p w14:paraId="46DD5AC6" w14:textId="24D05736" w:rsidR="00EE0060" w:rsidRDefault="00EE0060" w:rsidP="00EE0060">
      <w:pPr>
        <w:pStyle w:val="Heading1"/>
      </w:pPr>
      <w:r>
        <w:t xml:space="preserve">Our measures for </w:t>
      </w:r>
      <w:bookmarkEnd w:id="19"/>
      <w:r w:rsidR="00D86550">
        <w:t>202</w:t>
      </w:r>
      <w:r w:rsidR="00CF65BD">
        <w:t>3</w:t>
      </w:r>
      <w:r w:rsidR="00D86550">
        <w:t>–2</w:t>
      </w:r>
      <w:r w:rsidR="00CF65BD">
        <w:t>4</w:t>
      </w:r>
      <w:bookmarkEnd w:id="20"/>
    </w:p>
    <w:p w14:paraId="3FFDDE7F" w14:textId="5EC20AB3" w:rsidR="009B39C1" w:rsidRPr="00BB5E17" w:rsidRDefault="009B39C1" w:rsidP="00BB5E17">
      <w:pPr>
        <w:pStyle w:val="Heading2"/>
      </w:pPr>
      <w:bookmarkStart w:id="21" w:name="_Toc140491215"/>
      <w:r>
        <w:t>Performance measures</w:t>
      </w:r>
      <w:bookmarkEnd w:id="21"/>
    </w:p>
    <w:tbl>
      <w:tblPr>
        <w:tblStyle w:val="HSRtable"/>
        <w:tblW w:w="9326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7630"/>
        <w:gridCol w:w="1696"/>
      </w:tblGrid>
      <w:tr w:rsidR="004B7782" w:rsidRPr="0080681D" w14:paraId="61AC8531" w14:textId="77777777" w:rsidTr="000135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0" w:type="dxa"/>
            <w:noWrap/>
          </w:tcPr>
          <w:p w14:paraId="34F0403D" w14:textId="36E6F04E" w:rsidR="00EE0060" w:rsidRPr="0080681D" w:rsidRDefault="009B39C1" w:rsidP="00BB5E17">
            <w:pPr>
              <w:pStyle w:val="Tablecolhead"/>
            </w:pPr>
            <w:r>
              <w:t>M</w:t>
            </w:r>
            <w:r w:rsidR="00EE0060">
              <w:t>easure</w:t>
            </w:r>
          </w:p>
        </w:tc>
        <w:tc>
          <w:tcPr>
            <w:tcW w:w="1696" w:type="dxa"/>
          </w:tcPr>
          <w:p w14:paraId="7FDD239F" w14:textId="2EEBD17F" w:rsidR="00EE0060" w:rsidRPr="0080681D" w:rsidRDefault="00EE0060" w:rsidP="00BB5E17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681D">
              <w:t>202</w:t>
            </w:r>
            <w:r w:rsidR="00CF65BD">
              <w:t>3</w:t>
            </w:r>
            <w:r w:rsidR="009B39C1">
              <w:t>–</w:t>
            </w:r>
            <w:r w:rsidRPr="0080681D">
              <w:t>2</w:t>
            </w:r>
            <w:r w:rsidR="00CF65BD">
              <w:t>4</w:t>
            </w:r>
            <w:r w:rsidRPr="0080681D">
              <w:t xml:space="preserve"> target</w:t>
            </w:r>
          </w:p>
        </w:tc>
      </w:tr>
      <w:tr w:rsidR="00F861F3" w:rsidRPr="0080681D" w14:paraId="074A9E99" w14:textId="77777777" w:rsidTr="0001355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0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noWrap/>
            <w:hideMark/>
          </w:tcPr>
          <w:p w14:paraId="327EA183" w14:textId="508846D1" w:rsidR="00F861F3" w:rsidRPr="0080681D" w:rsidRDefault="00F861F3" w:rsidP="00BB5E17">
            <w:pPr>
              <w:pStyle w:val="Tabletext"/>
            </w:pPr>
            <w:r w:rsidRPr="0080681D">
              <w:t xml:space="preserve">Disqualified carer checks completed within </w:t>
            </w:r>
            <w:r>
              <w:t>1</w:t>
            </w:r>
            <w:r w:rsidRPr="0080681D">
              <w:t xml:space="preserve"> business day of receiving complete information</w:t>
            </w:r>
          </w:p>
        </w:tc>
        <w:tc>
          <w:tcPr>
            <w:tcW w:w="1696" w:type="dxa"/>
            <w:vAlign w:val="center"/>
          </w:tcPr>
          <w:p w14:paraId="3F06E9F8" w14:textId="77777777" w:rsidR="00F861F3" w:rsidRPr="0080681D" w:rsidRDefault="00F861F3" w:rsidP="00F861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681D">
              <w:t>95%</w:t>
            </w:r>
          </w:p>
        </w:tc>
      </w:tr>
      <w:tr w:rsidR="00F861F3" w:rsidRPr="0080681D" w14:paraId="78770449" w14:textId="77777777" w:rsidTr="0001355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0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noWrap/>
          </w:tcPr>
          <w:p w14:paraId="54B2FC58" w14:textId="4963FD55" w:rsidR="00F861F3" w:rsidRPr="0080681D" w:rsidRDefault="00F861F3" w:rsidP="00BB5E17">
            <w:pPr>
              <w:pStyle w:val="Tabletext"/>
            </w:pPr>
            <w:r w:rsidRPr="0080681D">
              <w:t xml:space="preserve">Number of completed CYF </w:t>
            </w:r>
            <w:r>
              <w:t xml:space="preserve">Act </w:t>
            </w:r>
            <w:r w:rsidRPr="0080681D">
              <w:t xml:space="preserve">and </w:t>
            </w:r>
            <w:r w:rsidRPr="001271BB">
              <w:t xml:space="preserve">Disability Act </w:t>
            </w:r>
            <w:r>
              <w:t xml:space="preserve">registration </w:t>
            </w:r>
            <w:r w:rsidRPr="0080681D">
              <w:t>applications processed within 6 weeks</w:t>
            </w:r>
          </w:p>
        </w:tc>
        <w:tc>
          <w:tcPr>
            <w:tcW w:w="1696" w:type="dxa"/>
            <w:vAlign w:val="center"/>
          </w:tcPr>
          <w:p w14:paraId="71878E9D" w14:textId="77777777" w:rsidR="00F861F3" w:rsidRPr="0080681D" w:rsidRDefault="00F861F3" w:rsidP="00F861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681D">
              <w:t>90%</w:t>
            </w:r>
          </w:p>
        </w:tc>
      </w:tr>
      <w:tr w:rsidR="00F861F3" w:rsidRPr="0080681D" w14:paraId="46EAD5EC" w14:textId="77777777" w:rsidTr="0001355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0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noWrap/>
          </w:tcPr>
          <w:p w14:paraId="08EC4A0D" w14:textId="1FD82860" w:rsidR="00F861F3" w:rsidRPr="0080681D" w:rsidRDefault="00F861F3" w:rsidP="00BB5E17">
            <w:pPr>
              <w:pStyle w:val="Tabletext"/>
            </w:pPr>
            <w:r w:rsidRPr="0080681D">
              <w:t>Number of completed SRS applications processed within statutory timeframes</w:t>
            </w:r>
          </w:p>
        </w:tc>
        <w:tc>
          <w:tcPr>
            <w:tcW w:w="1696" w:type="dxa"/>
            <w:vAlign w:val="center"/>
          </w:tcPr>
          <w:p w14:paraId="6BE18CFE" w14:textId="5622321E" w:rsidR="00F861F3" w:rsidRPr="0080681D" w:rsidRDefault="00F861F3" w:rsidP="00F861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681D">
              <w:t>95%</w:t>
            </w:r>
          </w:p>
        </w:tc>
      </w:tr>
      <w:tr w:rsidR="00F861F3" w:rsidRPr="0080681D" w14:paraId="65AFD77B" w14:textId="77777777" w:rsidTr="0001355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0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noWrap/>
          </w:tcPr>
          <w:p w14:paraId="02FFDAA4" w14:textId="0F448CCB" w:rsidR="00F861F3" w:rsidRPr="0080681D" w:rsidDel="00062651" w:rsidRDefault="00F861F3" w:rsidP="00BB5E17">
            <w:pPr>
              <w:pStyle w:val="Tabletext"/>
            </w:pPr>
            <w:r w:rsidRPr="0080681D">
              <w:t>Prescribed reportable incident investigations for SRS completed within 21 days</w:t>
            </w:r>
          </w:p>
        </w:tc>
        <w:tc>
          <w:tcPr>
            <w:tcW w:w="1696" w:type="dxa"/>
            <w:vAlign w:val="center"/>
          </w:tcPr>
          <w:p w14:paraId="2C737DDA" w14:textId="77777777" w:rsidR="00F861F3" w:rsidRPr="0080681D" w:rsidRDefault="00F861F3" w:rsidP="00F861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681D">
              <w:t>70%</w:t>
            </w:r>
          </w:p>
        </w:tc>
      </w:tr>
      <w:tr w:rsidR="00F861F3" w:rsidRPr="0080681D" w14:paraId="3FB5992D" w14:textId="77777777" w:rsidTr="0001355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0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noWrap/>
          </w:tcPr>
          <w:p w14:paraId="25EA7EE0" w14:textId="58B2AFFA" w:rsidR="00F861F3" w:rsidRPr="0080681D" w:rsidDel="00062651" w:rsidRDefault="00F861F3" w:rsidP="00BB5E17">
            <w:pPr>
              <w:pStyle w:val="Tabletext"/>
            </w:pPr>
            <w:r w:rsidRPr="0080681D">
              <w:t xml:space="preserve">Community Visitor notifications for investigation related to SRS are acknowledged, </w:t>
            </w:r>
            <w:proofErr w:type="gramStart"/>
            <w:r w:rsidRPr="0080681D">
              <w:t>triaged</w:t>
            </w:r>
            <w:proofErr w:type="gramEnd"/>
            <w:r w:rsidRPr="0080681D">
              <w:t xml:space="preserve"> and allocated within 2 business days</w:t>
            </w:r>
          </w:p>
        </w:tc>
        <w:tc>
          <w:tcPr>
            <w:tcW w:w="1696" w:type="dxa"/>
            <w:vAlign w:val="center"/>
          </w:tcPr>
          <w:p w14:paraId="30120E26" w14:textId="003F3C98" w:rsidR="00F861F3" w:rsidRPr="0080681D" w:rsidRDefault="00F861F3" w:rsidP="00F861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681D">
              <w:t>90%</w:t>
            </w:r>
          </w:p>
        </w:tc>
      </w:tr>
      <w:tr w:rsidR="00013552" w:rsidRPr="0080681D" w14:paraId="3B867460" w14:textId="77777777" w:rsidTr="0001355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0" w:type="dxa"/>
            <w:tcBorders>
              <w:top w:val="single" w:sz="24" w:space="0" w:color="FFFFFF" w:themeColor="background1"/>
            </w:tcBorders>
            <w:noWrap/>
          </w:tcPr>
          <w:p w14:paraId="2D6428DE" w14:textId="6A522D65" w:rsidR="00013552" w:rsidRPr="0080681D" w:rsidRDefault="00013552" w:rsidP="00BB5E17">
            <w:pPr>
              <w:pStyle w:val="Tabletext"/>
            </w:pPr>
            <w:r>
              <w:t>SRS Complaints that are received are resolved within 30 days</w:t>
            </w:r>
          </w:p>
        </w:tc>
        <w:tc>
          <w:tcPr>
            <w:tcW w:w="1696" w:type="dxa"/>
            <w:vAlign w:val="center"/>
          </w:tcPr>
          <w:p w14:paraId="7680854B" w14:textId="0D2CFB0F" w:rsidR="00013552" w:rsidRPr="0080681D" w:rsidRDefault="00013552" w:rsidP="00F861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70%</w:t>
            </w:r>
          </w:p>
        </w:tc>
      </w:tr>
    </w:tbl>
    <w:p w14:paraId="11708910" w14:textId="4821B904" w:rsidR="00EE0060" w:rsidRDefault="00EE0060" w:rsidP="00BB5E17">
      <w:pPr>
        <w:pStyle w:val="Heading2"/>
      </w:pPr>
      <w:bookmarkStart w:id="22" w:name="_Toc140491216"/>
      <w:r w:rsidRPr="00EE0060">
        <w:t>Risk-based targeting</w:t>
      </w:r>
      <w:bookmarkEnd w:id="22"/>
    </w:p>
    <w:tbl>
      <w:tblPr>
        <w:tblStyle w:val="HSRtable"/>
        <w:tblW w:w="9356" w:type="dxa"/>
        <w:tblLayout w:type="fixed"/>
        <w:tblLook w:val="04A0" w:firstRow="1" w:lastRow="0" w:firstColumn="1" w:lastColumn="0" w:noHBand="0" w:noVBand="1"/>
      </w:tblPr>
      <w:tblGrid>
        <w:gridCol w:w="7655"/>
        <w:gridCol w:w="1701"/>
      </w:tblGrid>
      <w:tr w:rsidR="004B7782" w:rsidRPr="0080681D" w14:paraId="7D51E4E8" w14:textId="77777777" w:rsidTr="6F58B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noWrap/>
            <w:hideMark/>
          </w:tcPr>
          <w:p w14:paraId="34C2373A" w14:textId="4A73FE28" w:rsidR="00EE0060" w:rsidRPr="0080681D" w:rsidRDefault="009B39C1" w:rsidP="00BB5E17">
            <w:pPr>
              <w:pStyle w:val="Tablecolhead"/>
            </w:pPr>
            <w:r>
              <w:t>Measure</w:t>
            </w:r>
          </w:p>
        </w:tc>
        <w:tc>
          <w:tcPr>
            <w:tcW w:w="1701" w:type="dxa"/>
          </w:tcPr>
          <w:p w14:paraId="19CD8AC8" w14:textId="74F1B727" w:rsidR="00EE0060" w:rsidRPr="0080681D" w:rsidRDefault="009B39C1" w:rsidP="00BB5E17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681D">
              <w:t>202</w:t>
            </w:r>
            <w:r w:rsidR="00CF65BD">
              <w:t>3</w:t>
            </w:r>
            <w:r>
              <w:t>–</w:t>
            </w:r>
            <w:r w:rsidRPr="0080681D">
              <w:t>2</w:t>
            </w:r>
            <w:r w:rsidR="00CF65BD">
              <w:t>4</w:t>
            </w:r>
            <w:r w:rsidRPr="0080681D">
              <w:t xml:space="preserve"> target</w:t>
            </w:r>
          </w:p>
        </w:tc>
      </w:tr>
      <w:tr w:rsidR="004B7782" w:rsidRPr="0080681D" w14:paraId="1A7BCFA6" w14:textId="77777777" w:rsidTr="6F58BD13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noWrap/>
            <w:hideMark/>
          </w:tcPr>
          <w:p w14:paraId="49C798B5" w14:textId="0A50E040" w:rsidR="00EE0060" w:rsidRPr="0080681D" w:rsidRDefault="00EE0060" w:rsidP="00BB5E17">
            <w:pPr>
              <w:pStyle w:val="Tabletext"/>
            </w:pPr>
            <w:r>
              <w:t xml:space="preserve">Proportion of high-risk SRS inspected at least once </w:t>
            </w:r>
            <w:r w:rsidR="7EFDDF85">
              <w:t>every 6 months</w:t>
            </w:r>
          </w:p>
        </w:tc>
        <w:tc>
          <w:tcPr>
            <w:tcW w:w="1701" w:type="dxa"/>
          </w:tcPr>
          <w:p w14:paraId="093A3E7C" w14:textId="1CFA1460" w:rsidR="00EE0060" w:rsidRPr="0080681D" w:rsidRDefault="7EFDDF85" w:rsidP="00BB5E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  <w:r w:rsidR="218578EC">
              <w:t>0</w:t>
            </w:r>
            <w:r w:rsidR="00EE0060">
              <w:t>%</w:t>
            </w:r>
          </w:p>
        </w:tc>
      </w:tr>
    </w:tbl>
    <w:p w14:paraId="55EC1B6D" w14:textId="41C2B186" w:rsidR="001C7128" w:rsidRPr="002365B4" w:rsidRDefault="001C7128" w:rsidP="001C7128">
      <w:pPr>
        <w:pStyle w:val="Body"/>
      </w:pPr>
    </w:p>
    <w:sectPr w:rsidR="001C7128" w:rsidRPr="002365B4" w:rsidSect="00CF230C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6" w:h="16838" w:code="9"/>
      <w:pgMar w:top="1418" w:right="1304" w:bottom="1418" w:left="1304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031B9" w14:textId="77777777" w:rsidR="0089024D" w:rsidRDefault="0089024D">
      <w:r>
        <w:separator/>
      </w:r>
    </w:p>
    <w:p w14:paraId="408054A8" w14:textId="77777777" w:rsidR="0089024D" w:rsidRDefault="0089024D"/>
  </w:endnote>
  <w:endnote w:type="continuationSeparator" w:id="0">
    <w:p w14:paraId="2CADF2EB" w14:textId="77777777" w:rsidR="0089024D" w:rsidRDefault="0089024D">
      <w:r>
        <w:continuationSeparator/>
      </w:r>
    </w:p>
    <w:p w14:paraId="284CDD04" w14:textId="77777777" w:rsidR="0089024D" w:rsidRDefault="0089024D"/>
  </w:endnote>
  <w:endnote w:type="continuationNotice" w:id="1">
    <w:p w14:paraId="322DF656" w14:textId="77777777" w:rsidR="0089024D" w:rsidRDefault="008902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06AB0" w14:textId="2F1C899C" w:rsidR="00EB4BC7" w:rsidRDefault="0007717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D7F624" wp14:editId="128A8C8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5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6B2D78" w14:textId="7EBC47AE" w:rsidR="00077179" w:rsidRPr="00077179" w:rsidRDefault="00077179" w:rsidP="00077179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077179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D7F62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vsB1Dw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46B2D78" w14:textId="7EBC47AE" w:rsidR="00077179" w:rsidRPr="00077179" w:rsidRDefault="00077179" w:rsidP="00077179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077179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C27F3" w14:textId="0C8AC221" w:rsidR="00431A70" w:rsidRDefault="0007717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2462BE7" wp14:editId="70BA768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6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8FC628" w14:textId="10B1D296" w:rsidR="00077179" w:rsidRPr="00077179" w:rsidRDefault="00077179" w:rsidP="00077179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077179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462BE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28FC628" w14:textId="10B1D296" w:rsidR="00077179" w:rsidRPr="00077179" w:rsidRDefault="00077179" w:rsidP="00077179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077179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B1DC" w14:textId="4AC05D55" w:rsidR="00EB4BC7" w:rsidRDefault="0007717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C9571A" wp14:editId="747276D8">
              <wp:simplePos x="827727" y="981571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4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41FAEA" w14:textId="4643D2E0" w:rsidR="00077179" w:rsidRPr="00077179" w:rsidRDefault="00077179" w:rsidP="00077179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077179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C9571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841FAEA" w14:textId="4643D2E0" w:rsidR="00077179" w:rsidRPr="00077179" w:rsidRDefault="00077179" w:rsidP="00077179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077179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A0490" w14:textId="272F1902" w:rsidR="00D63636" w:rsidRDefault="0007717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4DF1BA5" wp14:editId="03B53FF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8" name="Text Box 1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17294D" w14:textId="4C98370E" w:rsidR="00077179" w:rsidRPr="00077179" w:rsidRDefault="00077179" w:rsidP="00077179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077179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DF1BA5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9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D17294D" w14:textId="4C98370E" w:rsidR="00077179" w:rsidRPr="00077179" w:rsidRDefault="00077179" w:rsidP="00077179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077179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A8D0" w14:textId="098F5128" w:rsidR="00431A70" w:rsidRDefault="00077179" w:rsidP="00DC00C1">
    <w:pPr>
      <w:pStyle w:val="Footer"/>
      <w:tabs>
        <w:tab w:val="left" w:pos="3667"/>
      </w:tabs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A291591" wp14:editId="7C17C4E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9" name="Text Box 1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D84138" w14:textId="404AED2A" w:rsidR="00077179" w:rsidRPr="00077179" w:rsidRDefault="00077179" w:rsidP="00077179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077179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291591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0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1D84138" w14:textId="404AED2A" w:rsidR="00077179" w:rsidRPr="00077179" w:rsidRDefault="00077179" w:rsidP="00077179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077179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B18E0" w14:textId="588A2433" w:rsidR="00077179" w:rsidRDefault="0007717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69B937D" wp14:editId="2CA9467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7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4C130A" w14:textId="7E833A79" w:rsidR="00077179" w:rsidRPr="00077179" w:rsidRDefault="00077179" w:rsidP="00077179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077179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B937D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1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14C130A" w14:textId="7E833A79" w:rsidR="00077179" w:rsidRPr="00077179" w:rsidRDefault="00077179" w:rsidP="00077179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077179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AFB01" w14:textId="77777777" w:rsidR="0089024D" w:rsidRDefault="0089024D" w:rsidP="00207717">
      <w:pPr>
        <w:spacing w:before="120"/>
      </w:pPr>
      <w:r>
        <w:separator/>
      </w:r>
    </w:p>
  </w:footnote>
  <w:footnote w:type="continuationSeparator" w:id="0">
    <w:p w14:paraId="28EBCAD2" w14:textId="77777777" w:rsidR="0089024D" w:rsidRDefault="0089024D">
      <w:r>
        <w:continuationSeparator/>
      </w:r>
    </w:p>
    <w:p w14:paraId="78D0927B" w14:textId="77777777" w:rsidR="0089024D" w:rsidRDefault="0089024D"/>
  </w:footnote>
  <w:footnote w:type="continuationNotice" w:id="1">
    <w:p w14:paraId="66CD9EF3" w14:textId="77777777" w:rsidR="0089024D" w:rsidRDefault="0089024D">
      <w:pPr>
        <w:spacing w:after="0" w:line="240" w:lineRule="auto"/>
      </w:pPr>
    </w:p>
  </w:footnote>
  <w:footnote w:id="2">
    <w:p w14:paraId="3012866F" w14:textId="11FF60D6" w:rsidR="001C3B17" w:rsidRDefault="001C3B17">
      <w:pPr>
        <w:pStyle w:val="FootnoteText"/>
      </w:pPr>
      <w:r>
        <w:rPr>
          <w:rStyle w:val="FootnoteReference"/>
        </w:rPr>
        <w:footnoteRef/>
      </w:r>
      <w:r>
        <w:t xml:space="preserve"> Note: </w:t>
      </w:r>
      <w:r w:rsidR="00DB6360">
        <w:t xml:space="preserve">Human services providers </w:t>
      </w:r>
      <w:r w:rsidR="00DB41A8">
        <w:t xml:space="preserve">within the scope of the HSR regulatory </w:t>
      </w:r>
      <w:r w:rsidR="00AE693C">
        <w:t>jurisdiction are also called ‘duty-holders’</w:t>
      </w:r>
      <w:r w:rsidR="00D171B0">
        <w:t xml:space="preserve"> because they have obligations </w:t>
      </w:r>
      <w:r w:rsidR="00FC62DC">
        <w:t>or duties under the law.</w:t>
      </w:r>
    </w:p>
  </w:footnote>
  <w:footnote w:id="3">
    <w:p w14:paraId="2D365BD2" w14:textId="77777777" w:rsidR="00B127AB" w:rsidRDefault="00B127AB" w:rsidP="00B127A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40E96">
        <w:t xml:space="preserve">The standards published in </w:t>
      </w:r>
      <w:r w:rsidRPr="00B40E96">
        <w:rPr>
          <w:i/>
          <w:iCs/>
        </w:rPr>
        <w:t>Victoria Government Gazette</w:t>
      </w:r>
      <w:r w:rsidRPr="00B40E96">
        <w:t xml:space="preserve"> G21 (24 May 2012) as the </w:t>
      </w:r>
      <w:r w:rsidRPr="00B40E96">
        <w:rPr>
          <w:i/>
          <w:iCs/>
        </w:rPr>
        <w:t>Department of Human Services Standards (Disability) Determination 2012</w:t>
      </w:r>
      <w:r w:rsidRPr="00B40E96">
        <w:t xml:space="preserve"> and the </w:t>
      </w:r>
      <w:r w:rsidRPr="00B40E96">
        <w:rPr>
          <w:i/>
          <w:iCs/>
        </w:rPr>
        <w:t>Department of Human Services Standards (Children, Youth and Families) Determination 2012</w:t>
      </w:r>
      <w:r w:rsidRPr="00B40E96">
        <w:t>, respectively (now each administered by the Department of Families, Fairness and Housing (DFFH)), known as the Human Services Standards (Standards)</w:t>
      </w:r>
    </w:p>
  </w:footnote>
  <w:footnote w:id="4">
    <w:p w14:paraId="1626BC7E" w14:textId="29D00F20" w:rsidR="001040BE" w:rsidRDefault="001040B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72837">
        <w:t xml:space="preserve">There is information on the DFFH website to support organisations to understand what to report </w:t>
      </w:r>
      <w:hyperlink r:id="rId1" w:history="1">
        <w:r w:rsidR="00872837" w:rsidRPr="004D3B8D">
          <w:rPr>
            <w:rStyle w:val="Hyperlink"/>
          </w:rPr>
          <w:t>https://providers.dffh.vic.gov.au/carer-register</w:t>
        </w:r>
      </w:hyperlink>
      <w:r w:rsidR="00872837">
        <w:t xml:space="preserve"> </w:t>
      </w:r>
      <w:r w:rsidR="003D3613">
        <w:t xml:space="preserve"> </w:t>
      </w:r>
      <w:r w:rsidR="005E2BE0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185F" w14:textId="3B103123" w:rsidR="00431A70" w:rsidRDefault="00C60411">
    <w:pPr>
      <w:pStyle w:val="Header"/>
    </w:pPr>
    <w:r w:rsidRPr="00DE6C85">
      <w:rPr>
        <w:b w:val="0"/>
        <w:bCs/>
      </w:rPr>
      <w:fldChar w:fldCharType="begin"/>
    </w:r>
    <w:r w:rsidRPr="00DE6C85">
      <w:rPr>
        <w:bCs/>
      </w:rPr>
      <w:instrText xml:space="preserve"> PAGE </w:instrText>
    </w:r>
    <w:r w:rsidRPr="00DE6C85">
      <w:rPr>
        <w:b w:val="0"/>
        <w:bCs/>
      </w:rPr>
      <w:fldChar w:fldCharType="separate"/>
    </w:r>
    <w:r>
      <w:rPr>
        <w:bCs/>
      </w:rPr>
      <w:t>11</w:t>
    </w:r>
    <w:r w:rsidRPr="00DE6C85">
      <w:rPr>
        <w:b w:val="0"/>
        <w:bCs/>
      </w:rPr>
      <w:fldChar w:fldCharType="end"/>
    </w:r>
    <w:r>
      <w:rPr>
        <w:bCs/>
      </w:rPr>
      <w:ptab w:relativeTo="margin" w:alignment="right" w:leader="none"/>
    </w:r>
    <w:r>
      <w:t>Document title</w:t>
    </w:r>
    <w:r>
      <w:rPr>
        <w:noProof/>
      </w:rPr>
      <w:t xml:space="preserve"> </w:t>
    </w:r>
    <w:r w:rsidR="009C245E" w:rsidRPr="009C245E">
      <w:rPr>
        <w:noProof/>
      </w:rPr>
      <w:t>(use Header style)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A3E9" w14:textId="711A986D" w:rsidR="00562811" w:rsidRPr="001C7128" w:rsidRDefault="004B7782" w:rsidP="001C7128">
    <w:pPr>
      <w:pStyle w:val="Header"/>
    </w:pPr>
    <w:r w:rsidRPr="004B7782">
      <w:t>Human Services Regulator annual regulatory plan</w:t>
    </w:r>
    <w:r w:rsidR="001C7128">
      <w:ptab w:relativeTo="margin" w:alignment="right" w:leader="none"/>
    </w:r>
    <w:r w:rsidR="001C7128" w:rsidRPr="00DE6C85">
      <w:rPr>
        <w:b w:val="0"/>
        <w:bCs/>
      </w:rPr>
      <w:fldChar w:fldCharType="begin"/>
    </w:r>
    <w:r w:rsidR="001C7128" w:rsidRPr="00DE6C85">
      <w:rPr>
        <w:bCs/>
      </w:rPr>
      <w:instrText xml:space="preserve"> PAGE </w:instrText>
    </w:r>
    <w:r w:rsidR="001C7128" w:rsidRPr="00DE6C85">
      <w:rPr>
        <w:b w:val="0"/>
        <w:bCs/>
      </w:rPr>
      <w:fldChar w:fldCharType="separate"/>
    </w:r>
    <w:r w:rsidR="001C7128">
      <w:rPr>
        <w:bCs/>
      </w:rPr>
      <w:t>7</w:t>
    </w:r>
    <w:r w:rsidR="001C7128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0AAE1EBA"/>
    <w:numStyleLink w:val="ZZNumbersloweralpha"/>
  </w:abstractNum>
  <w:abstractNum w:abstractNumId="13" w15:restartNumberingAfterBreak="0">
    <w:nsid w:val="086125CC"/>
    <w:multiLevelType w:val="hybridMultilevel"/>
    <w:tmpl w:val="72D48C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B8D43DB"/>
    <w:multiLevelType w:val="multilevel"/>
    <w:tmpl w:val="B33A2DBC"/>
    <w:numStyleLink w:val="ZZNumbersdigit"/>
  </w:abstractNum>
  <w:abstractNum w:abstractNumId="15" w15:restartNumberingAfterBreak="0">
    <w:nsid w:val="0BAD2E30"/>
    <w:multiLevelType w:val="multilevel"/>
    <w:tmpl w:val="0AAE1EB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F01C1B"/>
    <w:multiLevelType w:val="hybridMultilevel"/>
    <w:tmpl w:val="025243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B33A2DB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986E24B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F05C78C0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8B3CE87A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A27A43"/>
    <w:multiLevelType w:val="hybridMultilevel"/>
    <w:tmpl w:val="5A3637A8"/>
    <w:lvl w:ilvl="0" w:tplc="0C09000F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3EF486D8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 w:tplc="9B44FA1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852EA93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F9C822F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D1D6A40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BCC66C1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1FC04FA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3942FBB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792527971">
    <w:abstractNumId w:val="10"/>
  </w:num>
  <w:num w:numId="2" w16cid:durableId="2138526911">
    <w:abstractNumId w:val="19"/>
  </w:num>
  <w:num w:numId="3" w16cid:durableId="10717375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29938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00965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65325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9888272">
    <w:abstractNumId w:val="23"/>
  </w:num>
  <w:num w:numId="8" w16cid:durableId="2124953656">
    <w:abstractNumId w:val="18"/>
  </w:num>
  <w:num w:numId="9" w16cid:durableId="573320854">
    <w:abstractNumId w:val="22"/>
  </w:num>
  <w:num w:numId="10" w16cid:durableId="6917642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4151501">
    <w:abstractNumId w:val="24"/>
  </w:num>
  <w:num w:numId="12" w16cid:durableId="1957044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5104325">
    <w:abstractNumId w:val="20"/>
  </w:num>
  <w:num w:numId="14" w16cid:durableId="11838579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76395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44340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20614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4441289">
    <w:abstractNumId w:val="26"/>
  </w:num>
  <w:num w:numId="19" w16cid:durableId="7743295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97900719">
    <w:abstractNumId w:val="15"/>
  </w:num>
  <w:num w:numId="21" w16cid:durableId="2031639535">
    <w:abstractNumId w:val="12"/>
  </w:num>
  <w:num w:numId="22" w16cid:durableId="13144568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26067048">
    <w:abstractNumId w:val="16"/>
  </w:num>
  <w:num w:numId="24" w16cid:durableId="749354191">
    <w:abstractNumId w:val="27"/>
  </w:num>
  <w:num w:numId="25" w16cid:durableId="1945265433">
    <w:abstractNumId w:val="25"/>
  </w:num>
  <w:num w:numId="26" w16cid:durableId="1661958548">
    <w:abstractNumId w:val="21"/>
  </w:num>
  <w:num w:numId="27" w16cid:durableId="1766457649">
    <w:abstractNumId w:val="11"/>
  </w:num>
  <w:num w:numId="28" w16cid:durableId="68617381">
    <w:abstractNumId w:val="28"/>
  </w:num>
  <w:num w:numId="29" w16cid:durableId="237055975">
    <w:abstractNumId w:val="9"/>
  </w:num>
  <w:num w:numId="30" w16cid:durableId="1310138201">
    <w:abstractNumId w:val="7"/>
  </w:num>
  <w:num w:numId="31" w16cid:durableId="1690108376">
    <w:abstractNumId w:val="6"/>
  </w:num>
  <w:num w:numId="32" w16cid:durableId="1613004705">
    <w:abstractNumId w:val="5"/>
  </w:num>
  <w:num w:numId="33" w16cid:durableId="581522864">
    <w:abstractNumId w:val="4"/>
  </w:num>
  <w:num w:numId="34" w16cid:durableId="884104876">
    <w:abstractNumId w:val="8"/>
  </w:num>
  <w:num w:numId="35" w16cid:durableId="1642539074">
    <w:abstractNumId w:val="3"/>
  </w:num>
  <w:num w:numId="36" w16cid:durableId="1036194283">
    <w:abstractNumId w:val="2"/>
  </w:num>
  <w:num w:numId="37" w16cid:durableId="1522935079">
    <w:abstractNumId w:val="1"/>
  </w:num>
  <w:num w:numId="38" w16cid:durableId="1961296172">
    <w:abstractNumId w:val="0"/>
  </w:num>
  <w:num w:numId="39" w16cid:durableId="1946643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53310820">
    <w:abstractNumId w:val="17"/>
  </w:num>
  <w:num w:numId="41" w16cid:durableId="916864526">
    <w:abstractNumId w:val="29"/>
  </w:num>
  <w:num w:numId="42" w16cid:durableId="918447002">
    <w:abstractNumId w:val="23"/>
  </w:num>
  <w:num w:numId="43" w16cid:durableId="675428183">
    <w:abstractNumId w:val="23"/>
  </w:num>
  <w:num w:numId="44" w16cid:durableId="138818898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220"/>
  <w:mirrorMargin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72"/>
    <w:rsid w:val="00000719"/>
    <w:rsid w:val="00000D50"/>
    <w:rsid w:val="00002D68"/>
    <w:rsid w:val="000033F7"/>
    <w:rsid w:val="00003403"/>
    <w:rsid w:val="000038C6"/>
    <w:rsid w:val="00005347"/>
    <w:rsid w:val="00006269"/>
    <w:rsid w:val="00006453"/>
    <w:rsid w:val="000072B6"/>
    <w:rsid w:val="0001021B"/>
    <w:rsid w:val="00011552"/>
    <w:rsid w:val="00011D89"/>
    <w:rsid w:val="00012A5D"/>
    <w:rsid w:val="00013045"/>
    <w:rsid w:val="00013552"/>
    <w:rsid w:val="000154C0"/>
    <w:rsid w:val="000154FD"/>
    <w:rsid w:val="00015A4C"/>
    <w:rsid w:val="00022271"/>
    <w:rsid w:val="000235E8"/>
    <w:rsid w:val="00024D89"/>
    <w:rsid w:val="000250B6"/>
    <w:rsid w:val="000255E6"/>
    <w:rsid w:val="00026CC9"/>
    <w:rsid w:val="00026E4C"/>
    <w:rsid w:val="000271AB"/>
    <w:rsid w:val="00027C48"/>
    <w:rsid w:val="0003175C"/>
    <w:rsid w:val="0003255E"/>
    <w:rsid w:val="00032FCB"/>
    <w:rsid w:val="000330A5"/>
    <w:rsid w:val="00033D81"/>
    <w:rsid w:val="00033DC9"/>
    <w:rsid w:val="00037366"/>
    <w:rsid w:val="00041BF0"/>
    <w:rsid w:val="000421A6"/>
    <w:rsid w:val="00042C8A"/>
    <w:rsid w:val="00043E88"/>
    <w:rsid w:val="000444A9"/>
    <w:rsid w:val="0004536B"/>
    <w:rsid w:val="00046A09"/>
    <w:rsid w:val="00046B68"/>
    <w:rsid w:val="0005070D"/>
    <w:rsid w:val="000507FD"/>
    <w:rsid w:val="0005197C"/>
    <w:rsid w:val="00051E07"/>
    <w:rsid w:val="00051FC2"/>
    <w:rsid w:val="000527DD"/>
    <w:rsid w:val="000529C7"/>
    <w:rsid w:val="00052E27"/>
    <w:rsid w:val="00053CC1"/>
    <w:rsid w:val="00053F77"/>
    <w:rsid w:val="00054022"/>
    <w:rsid w:val="00056EC4"/>
    <w:rsid w:val="00057813"/>
    <w:rsid w:val="000578B2"/>
    <w:rsid w:val="0006031C"/>
    <w:rsid w:val="00060959"/>
    <w:rsid w:val="00060C8F"/>
    <w:rsid w:val="00062246"/>
    <w:rsid w:val="0006298A"/>
    <w:rsid w:val="00065629"/>
    <w:rsid w:val="000656EA"/>
    <w:rsid w:val="000659FA"/>
    <w:rsid w:val="000663CD"/>
    <w:rsid w:val="00066CF6"/>
    <w:rsid w:val="00066E1A"/>
    <w:rsid w:val="0007235A"/>
    <w:rsid w:val="000733FE"/>
    <w:rsid w:val="000739BB"/>
    <w:rsid w:val="00074219"/>
    <w:rsid w:val="00074ED5"/>
    <w:rsid w:val="00076D0F"/>
    <w:rsid w:val="00077179"/>
    <w:rsid w:val="00077DD9"/>
    <w:rsid w:val="0008023E"/>
    <w:rsid w:val="0008170F"/>
    <w:rsid w:val="0008204A"/>
    <w:rsid w:val="0008249D"/>
    <w:rsid w:val="00083B5F"/>
    <w:rsid w:val="00084098"/>
    <w:rsid w:val="00085053"/>
    <w:rsid w:val="0008508E"/>
    <w:rsid w:val="0008605A"/>
    <w:rsid w:val="00087951"/>
    <w:rsid w:val="000906EF"/>
    <w:rsid w:val="00090819"/>
    <w:rsid w:val="0009113B"/>
    <w:rsid w:val="0009209B"/>
    <w:rsid w:val="00092582"/>
    <w:rsid w:val="00093402"/>
    <w:rsid w:val="00094DA3"/>
    <w:rsid w:val="00096CD1"/>
    <w:rsid w:val="00097170"/>
    <w:rsid w:val="000A012C"/>
    <w:rsid w:val="000A0D3D"/>
    <w:rsid w:val="000A0EB9"/>
    <w:rsid w:val="000A186C"/>
    <w:rsid w:val="000A1EA4"/>
    <w:rsid w:val="000A2476"/>
    <w:rsid w:val="000A2757"/>
    <w:rsid w:val="000A417D"/>
    <w:rsid w:val="000A641A"/>
    <w:rsid w:val="000A6FBF"/>
    <w:rsid w:val="000A727A"/>
    <w:rsid w:val="000B03E8"/>
    <w:rsid w:val="000B214B"/>
    <w:rsid w:val="000B3043"/>
    <w:rsid w:val="000B32AA"/>
    <w:rsid w:val="000B3EDB"/>
    <w:rsid w:val="000B4106"/>
    <w:rsid w:val="000B44F0"/>
    <w:rsid w:val="000B543D"/>
    <w:rsid w:val="000B55F9"/>
    <w:rsid w:val="000B560F"/>
    <w:rsid w:val="000B5BF7"/>
    <w:rsid w:val="000B6BC8"/>
    <w:rsid w:val="000B74D5"/>
    <w:rsid w:val="000C0303"/>
    <w:rsid w:val="000C1017"/>
    <w:rsid w:val="000C3F7F"/>
    <w:rsid w:val="000C42EA"/>
    <w:rsid w:val="000C4546"/>
    <w:rsid w:val="000C6DCE"/>
    <w:rsid w:val="000C758D"/>
    <w:rsid w:val="000D02EC"/>
    <w:rsid w:val="000D05BF"/>
    <w:rsid w:val="000D0DD5"/>
    <w:rsid w:val="000D0F90"/>
    <w:rsid w:val="000D1242"/>
    <w:rsid w:val="000D1490"/>
    <w:rsid w:val="000D2ABA"/>
    <w:rsid w:val="000D444D"/>
    <w:rsid w:val="000D518A"/>
    <w:rsid w:val="000E0970"/>
    <w:rsid w:val="000E35A1"/>
    <w:rsid w:val="000E3CC7"/>
    <w:rsid w:val="000E50AE"/>
    <w:rsid w:val="000E6BD4"/>
    <w:rsid w:val="000E6D6D"/>
    <w:rsid w:val="000F1144"/>
    <w:rsid w:val="000F1F1E"/>
    <w:rsid w:val="000F2259"/>
    <w:rsid w:val="000F2885"/>
    <w:rsid w:val="000F2DDA"/>
    <w:rsid w:val="000F2EA0"/>
    <w:rsid w:val="000F424F"/>
    <w:rsid w:val="000F5213"/>
    <w:rsid w:val="000F53DE"/>
    <w:rsid w:val="000F5431"/>
    <w:rsid w:val="00100D9A"/>
    <w:rsid w:val="00101001"/>
    <w:rsid w:val="001024F0"/>
    <w:rsid w:val="00103276"/>
    <w:rsid w:val="0010392D"/>
    <w:rsid w:val="001040BE"/>
    <w:rsid w:val="0010447F"/>
    <w:rsid w:val="00104715"/>
    <w:rsid w:val="00104E19"/>
    <w:rsid w:val="00104FE3"/>
    <w:rsid w:val="00105613"/>
    <w:rsid w:val="0010714F"/>
    <w:rsid w:val="0010715A"/>
    <w:rsid w:val="00107BFC"/>
    <w:rsid w:val="00110DE2"/>
    <w:rsid w:val="001120C5"/>
    <w:rsid w:val="00112D3C"/>
    <w:rsid w:val="0011316F"/>
    <w:rsid w:val="001160AE"/>
    <w:rsid w:val="00116405"/>
    <w:rsid w:val="001171B0"/>
    <w:rsid w:val="0012080E"/>
    <w:rsid w:val="00120BD3"/>
    <w:rsid w:val="001217FF"/>
    <w:rsid w:val="00122FEA"/>
    <w:rsid w:val="0012305A"/>
    <w:rsid w:val="001232BD"/>
    <w:rsid w:val="00124572"/>
    <w:rsid w:val="00124ED5"/>
    <w:rsid w:val="00125128"/>
    <w:rsid w:val="0012679F"/>
    <w:rsid w:val="001271BB"/>
    <w:rsid w:val="001276FA"/>
    <w:rsid w:val="00127EB2"/>
    <w:rsid w:val="00130227"/>
    <w:rsid w:val="001307D4"/>
    <w:rsid w:val="00131696"/>
    <w:rsid w:val="00131F96"/>
    <w:rsid w:val="00133D56"/>
    <w:rsid w:val="0013463B"/>
    <w:rsid w:val="00134C10"/>
    <w:rsid w:val="00134DDA"/>
    <w:rsid w:val="00135BC8"/>
    <w:rsid w:val="00141E66"/>
    <w:rsid w:val="001422A0"/>
    <w:rsid w:val="00142943"/>
    <w:rsid w:val="00143798"/>
    <w:rsid w:val="001437DB"/>
    <w:rsid w:val="001447B3"/>
    <w:rsid w:val="00145A20"/>
    <w:rsid w:val="001468BA"/>
    <w:rsid w:val="00152073"/>
    <w:rsid w:val="00152329"/>
    <w:rsid w:val="0015462E"/>
    <w:rsid w:val="00156598"/>
    <w:rsid w:val="00160840"/>
    <w:rsid w:val="00161939"/>
    <w:rsid w:val="00161AA0"/>
    <w:rsid w:val="00161D2E"/>
    <w:rsid w:val="00161F3E"/>
    <w:rsid w:val="00162093"/>
    <w:rsid w:val="00162CA9"/>
    <w:rsid w:val="0016321A"/>
    <w:rsid w:val="00163780"/>
    <w:rsid w:val="00165459"/>
    <w:rsid w:val="001657DA"/>
    <w:rsid w:val="00165A57"/>
    <w:rsid w:val="001708A9"/>
    <w:rsid w:val="001709A7"/>
    <w:rsid w:val="001709FF"/>
    <w:rsid w:val="001712C2"/>
    <w:rsid w:val="00172BAF"/>
    <w:rsid w:val="00172ED0"/>
    <w:rsid w:val="0017373D"/>
    <w:rsid w:val="00175644"/>
    <w:rsid w:val="00175BD8"/>
    <w:rsid w:val="0017674D"/>
    <w:rsid w:val="001771DD"/>
    <w:rsid w:val="001771E0"/>
    <w:rsid w:val="00177995"/>
    <w:rsid w:val="00177A8C"/>
    <w:rsid w:val="0018019D"/>
    <w:rsid w:val="0018244E"/>
    <w:rsid w:val="0018335A"/>
    <w:rsid w:val="0018339A"/>
    <w:rsid w:val="00183790"/>
    <w:rsid w:val="00184285"/>
    <w:rsid w:val="00185241"/>
    <w:rsid w:val="00186B33"/>
    <w:rsid w:val="001900F9"/>
    <w:rsid w:val="00191F08"/>
    <w:rsid w:val="00192F9D"/>
    <w:rsid w:val="00193FB6"/>
    <w:rsid w:val="001945B8"/>
    <w:rsid w:val="001947AE"/>
    <w:rsid w:val="001956F3"/>
    <w:rsid w:val="00195D1D"/>
    <w:rsid w:val="00196EB8"/>
    <w:rsid w:val="00196EFB"/>
    <w:rsid w:val="001979FF"/>
    <w:rsid w:val="00197B17"/>
    <w:rsid w:val="001A1950"/>
    <w:rsid w:val="001A1C54"/>
    <w:rsid w:val="001A3ACE"/>
    <w:rsid w:val="001A4529"/>
    <w:rsid w:val="001A59F9"/>
    <w:rsid w:val="001A6272"/>
    <w:rsid w:val="001A7E58"/>
    <w:rsid w:val="001B058F"/>
    <w:rsid w:val="001B0FB5"/>
    <w:rsid w:val="001B1DF1"/>
    <w:rsid w:val="001B3991"/>
    <w:rsid w:val="001B6B96"/>
    <w:rsid w:val="001B6CDA"/>
    <w:rsid w:val="001B738B"/>
    <w:rsid w:val="001B7667"/>
    <w:rsid w:val="001C09DB"/>
    <w:rsid w:val="001C277E"/>
    <w:rsid w:val="001C2A72"/>
    <w:rsid w:val="001C31B7"/>
    <w:rsid w:val="001C342F"/>
    <w:rsid w:val="001C37AC"/>
    <w:rsid w:val="001C3B17"/>
    <w:rsid w:val="001C3DEA"/>
    <w:rsid w:val="001C4A2B"/>
    <w:rsid w:val="001C60DA"/>
    <w:rsid w:val="001C677D"/>
    <w:rsid w:val="001C68AE"/>
    <w:rsid w:val="001C7118"/>
    <w:rsid w:val="001C7128"/>
    <w:rsid w:val="001C747E"/>
    <w:rsid w:val="001C7FCC"/>
    <w:rsid w:val="001D0B75"/>
    <w:rsid w:val="001D21A0"/>
    <w:rsid w:val="001D291D"/>
    <w:rsid w:val="001D31C8"/>
    <w:rsid w:val="001D39A5"/>
    <w:rsid w:val="001D3C09"/>
    <w:rsid w:val="001D44E8"/>
    <w:rsid w:val="001D51DA"/>
    <w:rsid w:val="001D553F"/>
    <w:rsid w:val="001D5B14"/>
    <w:rsid w:val="001D60EC"/>
    <w:rsid w:val="001D6F59"/>
    <w:rsid w:val="001D7389"/>
    <w:rsid w:val="001D7599"/>
    <w:rsid w:val="001E1C4D"/>
    <w:rsid w:val="001E27BA"/>
    <w:rsid w:val="001E31C0"/>
    <w:rsid w:val="001E34AC"/>
    <w:rsid w:val="001E44DF"/>
    <w:rsid w:val="001E68A5"/>
    <w:rsid w:val="001E6BB0"/>
    <w:rsid w:val="001E7282"/>
    <w:rsid w:val="001E753A"/>
    <w:rsid w:val="001F1A12"/>
    <w:rsid w:val="001F2190"/>
    <w:rsid w:val="001F3826"/>
    <w:rsid w:val="001F3845"/>
    <w:rsid w:val="001F3EF0"/>
    <w:rsid w:val="001F4F31"/>
    <w:rsid w:val="001F5634"/>
    <w:rsid w:val="001F69BD"/>
    <w:rsid w:val="001F6E46"/>
    <w:rsid w:val="001F7153"/>
    <w:rsid w:val="001F7BEA"/>
    <w:rsid w:val="001F7C91"/>
    <w:rsid w:val="00202E5B"/>
    <w:rsid w:val="002033B7"/>
    <w:rsid w:val="00203DF2"/>
    <w:rsid w:val="00203EBF"/>
    <w:rsid w:val="00204C33"/>
    <w:rsid w:val="00205B46"/>
    <w:rsid w:val="00206463"/>
    <w:rsid w:val="00206F2F"/>
    <w:rsid w:val="002075DA"/>
    <w:rsid w:val="00207717"/>
    <w:rsid w:val="00207C0C"/>
    <w:rsid w:val="00207FF9"/>
    <w:rsid w:val="0021053D"/>
    <w:rsid w:val="00210A92"/>
    <w:rsid w:val="00211044"/>
    <w:rsid w:val="00211683"/>
    <w:rsid w:val="00211955"/>
    <w:rsid w:val="00211FB8"/>
    <w:rsid w:val="00212A1D"/>
    <w:rsid w:val="00212B95"/>
    <w:rsid w:val="00213229"/>
    <w:rsid w:val="0021529E"/>
    <w:rsid w:val="002154C1"/>
    <w:rsid w:val="00215CC8"/>
    <w:rsid w:val="00215CF8"/>
    <w:rsid w:val="00216C03"/>
    <w:rsid w:val="00217065"/>
    <w:rsid w:val="00217874"/>
    <w:rsid w:val="0021787A"/>
    <w:rsid w:val="00217DF2"/>
    <w:rsid w:val="00220A1A"/>
    <w:rsid w:val="00220C04"/>
    <w:rsid w:val="0022278D"/>
    <w:rsid w:val="00226C42"/>
    <w:rsid w:val="0022701F"/>
    <w:rsid w:val="00227C68"/>
    <w:rsid w:val="00227DAA"/>
    <w:rsid w:val="002305C2"/>
    <w:rsid w:val="0023083B"/>
    <w:rsid w:val="00230C5E"/>
    <w:rsid w:val="0023122A"/>
    <w:rsid w:val="0023265A"/>
    <w:rsid w:val="002333F5"/>
    <w:rsid w:val="00233724"/>
    <w:rsid w:val="00234148"/>
    <w:rsid w:val="00234401"/>
    <w:rsid w:val="002350B9"/>
    <w:rsid w:val="002365B4"/>
    <w:rsid w:val="00236C20"/>
    <w:rsid w:val="0023746A"/>
    <w:rsid w:val="00241072"/>
    <w:rsid w:val="0024267C"/>
    <w:rsid w:val="00243279"/>
    <w:rsid w:val="002432E1"/>
    <w:rsid w:val="0024406E"/>
    <w:rsid w:val="00245776"/>
    <w:rsid w:val="00246207"/>
    <w:rsid w:val="00246C5E"/>
    <w:rsid w:val="00247282"/>
    <w:rsid w:val="00250960"/>
    <w:rsid w:val="00251343"/>
    <w:rsid w:val="002514BB"/>
    <w:rsid w:val="00252610"/>
    <w:rsid w:val="00253389"/>
    <w:rsid w:val="002535DA"/>
    <w:rsid w:val="002536A4"/>
    <w:rsid w:val="00253A3E"/>
    <w:rsid w:val="00253E05"/>
    <w:rsid w:val="00254F58"/>
    <w:rsid w:val="002555AC"/>
    <w:rsid w:val="002578E8"/>
    <w:rsid w:val="00257F0A"/>
    <w:rsid w:val="002600BD"/>
    <w:rsid w:val="00261055"/>
    <w:rsid w:val="002620BC"/>
    <w:rsid w:val="00262802"/>
    <w:rsid w:val="00263A90"/>
    <w:rsid w:val="0026408B"/>
    <w:rsid w:val="00264BA2"/>
    <w:rsid w:val="002660FE"/>
    <w:rsid w:val="00267A42"/>
    <w:rsid w:val="00267C3E"/>
    <w:rsid w:val="002709BB"/>
    <w:rsid w:val="00270F5B"/>
    <w:rsid w:val="0027131C"/>
    <w:rsid w:val="0027217E"/>
    <w:rsid w:val="00272C52"/>
    <w:rsid w:val="00273BAC"/>
    <w:rsid w:val="00274C44"/>
    <w:rsid w:val="00274F6D"/>
    <w:rsid w:val="00275723"/>
    <w:rsid w:val="002763B3"/>
    <w:rsid w:val="00276B47"/>
    <w:rsid w:val="002802E3"/>
    <w:rsid w:val="00281E89"/>
    <w:rsid w:val="0028213D"/>
    <w:rsid w:val="00284FAB"/>
    <w:rsid w:val="00285A21"/>
    <w:rsid w:val="002862F1"/>
    <w:rsid w:val="0028711E"/>
    <w:rsid w:val="00287161"/>
    <w:rsid w:val="002902F5"/>
    <w:rsid w:val="0029045E"/>
    <w:rsid w:val="00291373"/>
    <w:rsid w:val="00292052"/>
    <w:rsid w:val="00292297"/>
    <w:rsid w:val="00293037"/>
    <w:rsid w:val="002931C9"/>
    <w:rsid w:val="002951C8"/>
    <w:rsid w:val="0029597D"/>
    <w:rsid w:val="002962C3"/>
    <w:rsid w:val="0029735B"/>
    <w:rsid w:val="00297428"/>
    <w:rsid w:val="0029752B"/>
    <w:rsid w:val="00297B7C"/>
    <w:rsid w:val="00297C94"/>
    <w:rsid w:val="002A0A9C"/>
    <w:rsid w:val="002A14F4"/>
    <w:rsid w:val="002A387E"/>
    <w:rsid w:val="002A483C"/>
    <w:rsid w:val="002A5C57"/>
    <w:rsid w:val="002A64D4"/>
    <w:rsid w:val="002B0C7C"/>
    <w:rsid w:val="002B1729"/>
    <w:rsid w:val="002B21EE"/>
    <w:rsid w:val="002B2937"/>
    <w:rsid w:val="002B36C7"/>
    <w:rsid w:val="002B4DD4"/>
    <w:rsid w:val="002B512B"/>
    <w:rsid w:val="002B5277"/>
    <w:rsid w:val="002B5375"/>
    <w:rsid w:val="002B539D"/>
    <w:rsid w:val="002B77C1"/>
    <w:rsid w:val="002C0ED7"/>
    <w:rsid w:val="002C2728"/>
    <w:rsid w:val="002C279F"/>
    <w:rsid w:val="002C4915"/>
    <w:rsid w:val="002C5B4B"/>
    <w:rsid w:val="002C5B7C"/>
    <w:rsid w:val="002C5E54"/>
    <w:rsid w:val="002C71F3"/>
    <w:rsid w:val="002D0CB9"/>
    <w:rsid w:val="002D0D61"/>
    <w:rsid w:val="002D1E0D"/>
    <w:rsid w:val="002D210D"/>
    <w:rsid w:val="002D2767"/>
    <w:rsid w:val="002D5006"/>
    <w:rsid w:val="002D5E29"/>
    <w:rsid w:val="002D6C14"/>
    <w:rsid w:val="002D7C61"/>
    <w:rsid w:val="002E01D0"/>
    <w:rsid w:val="002E161D"/>
    <w:rsid w:val="002E1A28"/>
    <w:rsid w:val="002E202E"/>
    <w:rsid w:val="002E22CD"/>
    <w:rsid w:val="002E28A2"/>
    <w:rsid w:val="002E3100"/>
    <w:rsid w:val="002E4C61"/>
    <w:rsid w:val="002E65F8"/>
    <w:rsid w:val="002E6C95"/>
    <w:rsid w:val="002E7430"/>
    <w:rsid w:val="002E79BE"/>
    <w:rsid w:val="002E7C36"/>
    <w:rsid w:val="002F25EE"/>
    <w:rsid w:val="002F3290"/>
    <w:rsid w:val="002F3D32"/>
    <w:rsid w:val="002F3F65"/>
    <w:rsid w:val="002F487D"/>
    <w:rsid w:val="002F4E03"/>
    <w:rsid w:val="002F59A8"/>
    <w:rsid w:val="002F5F31"/>
    <w:rsid w:val="002F5F46"/>
    <w:rsid w:val="002F76C4"/>
    <w:rsid w:val="00300F95"/>
    <w:rsid w:val="00301FB4"/>
    <w:rsid w:val="00302216"/>
    <w:rsid w:val="003022DC"/>
    <w:rsid w:val="00302DA2"/>
    <w:rsid w:val="00303E53"/>
    <w:rsid w:val="003043C6"/>
    <w:rsid w:val="0030459A"/>
    <w:rsid w:val="0030546D"/>
    <w:rsid w:val="00305CC1"/>
    <w:rsid w:val="003068FC"/>
    <w:rsid w:val="00306AE0"/>
    <w:rsid w:val="00306E5F"/>
    <w:rsid w:val="003076F7"/>
    <w:rsid w:val="00307E14"/>
    <w:rsid w:val="00310619"/>
    <w:rsid w:val="003107A9"/>
    <w:rsid w:val="00311E36"/>
    <w:rsid w:val="00311FC2"/>
    <w:rsid w:val="00314054"/>
    <w:rsid w:val="00315BCF"/>
    <w:rsid w:val="00315E06"/>
    <w:rsid w:val="00316F27"/>
    <w:rsid w:val="00316F30"/>
    <w:rsid w:val="00317400"/>
    <w:rsid w:val="00317853"/>
    <w:rsid w:val="003214F1"/>
    <w:rsid w:val="00322030"/>
    <w:rsid w:val="003221F4"/>
    <w:rsid w:val="00322E4B"/>
    <w:rsid w:val="00326F3B"/>
    <w:rsid w:val="00327870"/>
    <w:rsid w:val="0033259D"/>
    <w:rsid w:val="003333D2"/>
    <w:rsid w:val="00334686"/>
    <w:rsid w:val="003348E7"/>
    <w:rsid w:val="00334F54"/>
    <w:rsid w:val="00336EC1"/>
    <w:rsid w:val="0033717A"/>
    <w:rsid w:val="00337339"/>
    <w:rsid w:val="00340345"/>
    <w:rsid w:val="003406C6"/>
    <w:rsid w:val="0034146E"/>
    <w:rsid w:val="003418CC"/>
    <w:rsid w:val="003434EE"/>
    <w:rsid w:val="003459BD"/>
    <w:rsid w:val="00345A72"/>
    <w:rsid w:val="00350B5B"/>
    <w:rsid w:val="00350D38"/>
    <w:rsid w:val="00351B36"/>
    <w:rsid w:val="00351E83"/>
    <w:rsid w:val="0035219C"/>
    <w:rsid w:val="00353FB7"/>
    <w:rsid w:val="00356935"/>
    <w:rsid w:val="003577BD"/>
    <w:rsid w:val="00357ACA"/>
    <w:rsid w:val="00357B4E"/>
    <w:rsid w:val="00357B8D"/>
    <w:rsid w:val="00357EA5"/>
    <w:rsid w:val="003601B8"/>
    <w:rsid w:val="003705E4"/>
    <w:rsid w:val="0037158A"/>
    <w:rsid w:val="003716FD"/>
    <w:rsid w:val="0037204B"/>
    <w:rsid w:val="0037362E"/>
    <w:rsid w:val="003736C7"/>
    <w:rsid w:val="003739E6"/>
    <w:rsid w:val="003744CF"/>
    <w:rsid w:val="00374717"/>
    <w:rsid w:val="00375A9D"/>
    <w:rsid w:val="00375F40"/>
    <w:rsid w:val="0037676C"/>
    <w:rsid w:val="0037682F"/>
    <w:rsid w:val="00376A92"/>
    <w:rsid w:val="00377B5A"/>
    <w:rsid w:val="00381043"/>
    <w:rsid w:val="003829E5"/>
    <w:rsid w:val="00385545"/>
    <w:rsid w:val="00386109"/>
    <w:rsid w:val="00386944"/>
    <w:rsid w:val="003935AC"/>
    <w:rsid w:val="003938CD"/>
    <w:rsid w:val="00394386"/>
    <w:rsid w:val="0039496F"/>
    <w:rsid w:val="003949C6"/>
    <w:rsid w:val="003956CC"/>
    <w:rsid w:val="00395BA3"/>
    <w:rsid w:val="00395C9A"/>
    <w:rsid w:val="00395DBA"/>
    <w:rsid w:val="00397AF4"/>
    <w:rsid w:val="003A0853"/>
    <w:rsid w:val="003A2C74"/>
    <w:rsid w:val="003A5721"/>
    <w:rsid w:val="003A6956"/>
    <w:rsid w:val="003A6A05"/>
    <w:rsid w:val="003A6B67"/>
    <w:rsid w:val="003B13B6"/>
    <w:rsid w:val="003B14C3"/>
    <w:rsid w:val="003B1574"/>
    <w:rsid w:val="003B15E6"/>
    <w:rsid w:val="003B22EF"/>
    <w:rsid w:val="003B408A"/>
    <w:rsid w:val="003B5372"/>
    <w:rsid w:val="003C0689"/>
    <w:rsid w:val="003C08A2"/>
    <w:rsid w:val="003C147C"/>
    <w:rsid w:val="003C2045"/>
    <w:rsid w:val="003C23CC"/>
    <w:rsid w:val="003C3694"/>
    <w:rsid w:val="003C43A1"/>
    <w:rsid w:val="003C4721"/>
    <w:rsid w:val="003C49AF"/>
    <w:rsid w:val="003C4FC0"/>
    <w:rsid w:val="003C54FA"/>
    <w:rsid w:val="003C55F4"/>
    <w:rsid w:val="003C5C9B"/>
    <w:rsid w:val="003C6287"/>
    <w:rsid w:val="003C6B8D"/>
    <w:rsid w:val="003C7402"/>
    <w:rsid w:val="003C7897"/>
    <w:rsid w:val="003C7A3F"/>
    <w:rsid w:val="003D045A"/>
    <w:rsid w:val="003D2766"/>
    <w:rsid w:val="003D2A74"/>
    <w:rsid w:val="003D32D3"/>
    <w:rsid w:val="003D3613"/>
    <w:rsid w:val="003D3D88"/>
    <w:rsid w:val="003D3E8F"/>
    <w:rsid w:val="003D4F86"/>
    <w:rsid w:val="003D6475"/>
    <w:rsid w:val="003D6D15"/>
    <w:rsid w:val="003D6EE6"/>
    <w:rsid w:val="003D770B"/>
    <w:rsid w:val="003D7EEF"/>
    <w:rsid w:val="003E092D"/>
    <w:rsid w:val="003E1F10"/>
    <w:rsid w:val="003E2541"/>
    <w:rsid w:val="003E2A2B"/>
    <w:rsid w:val="003E2D6C"/>
    <w:rsid w:val="003E375C"/>
    <w:rsid w:val="003E4086"/>
    <w:rsid w:val="003E639E"/>
    <w:rsid w:val="003E71E5"/>
    <w:rsid w:val="003F0445"/>
    <w:rsid w:val="003F0CF0"/>
    <w:rsid w:val="003F14B1"/>
    <w:rsid w:val="003F17B9"/>
    <w:rsid w:val="003F2B20"/>
    <w:rsid w:val="003F3289"/>
    <w:rsid w:val="003F3945"/>
    <w:rsid w:val="003F3C62"/>
    <w:rsid w:val="003F5CB9"/>
    <w:rsid w:val="003F6258"/>
    <w:rsid w:val="003F6E1A"/>
    <w:rsid w:val="003F7DFD"/>
    <w:rsid w:val="004002D5"/>
    <w:rsid w:val="004013C7"/>
    <w:rsid w:val="00401FCF"/>
    <w:rsid w:val="004033CC"/>
    <w:rsid w:val="00404617"/>
    <w:rsid w:val="004046BB"/>
    <w:rsid w:val="00404C9C"/>
    <w:rsid w:val="00406285"/>
    <w:rsid w:val="004102BD"/>
    <w:rsid w:val="004115A2"/>
    <w:rsid w:val="004118BC"/>
    <w:rsid w:val="00411B14"/>
    <w:rsid w:val="00413590"/>
    <w:rsid w:val="00413914"/>
    <w:rsid w:val="00413D22"/>
    <w:rsid w:val="0041432E"/>
    <w:rsid w:val="004148F9"/>
    <w:rsid w:val="00415E12"/>
    <w:rsid w:val="004165D3"/>
    <w:rsid w:val="00416F5E"/>
    <w:rsid w:val="00417BF4"/>
    <w:rsid w:val="0042084E"/>
    <w:rsid w:val="00420CD0"/>
    <w:rsid w:val="00421EEF"/>
    <w:rsid w:val="00423431"/>
    <w:rsid w:val="00424853"/>
    <w:rsid w:val="00424D65"/>
    <w:rsid w:val="0042526D"/>
    <w:rsid w:val="0042575F"/>
    <w:rsid w:val="00425804"/>
    <w:rsid w:val="004275A9"/>
    <w:rsid w:val="00427B7B"/>
    <w:rsid w:val="00430393"/>
    <w:rsid w:val="0043079B"/>
    <w:rsid w:val="00431805"/>
    <w:rsid w:val="00431806"/>
    <w:rsid w:val="00431A70"/>
    <w:rsid w:val="00431F42"/>
    <w:rsid w:val="004323A6"/>
    <w:rsid w:val="00434AC8"/>
    <w:rsid w:val="00442C6C"/>
    <w:rsid w:val="00443CBE"/>
    <w:rsid w:val="00443D87"/>
    <w:rsid w:val="00443E8A"/>
    <w:rsid w:val="004441BC"/>
    <w:rsid w:val="0044439E"/>
    <w:rsid w:val="0044460E"/>
    <w:rsid w:val="0044504B"/>
    <w:rsid w:val="004468B4"/>
    <w:rsid w:val="00446D86"/>
    <w:rsid w:val="0044710A"/>
    <w:rsid w:val="004514BE"/>
    <w:rsid w:val="0045167E"/>
    <w:rsid w:val="0045230A"/>
    <w:rsid w:val="0045298A"/>
    <w:rsid w:val="004543DF"/>
    <w:rsid w:val="00454AD0"/>
    <w:rsid w:val="00455609"/>
    <w:rsid w:val="00455738"/>
    <w:rsid w:val="00457337"/>
    <w:rsid w:val="00462E3D"/>
    <w:rsid w:val="00463BFF"/>
    <w:rsid w:val="0046662D"/>
    <w:rsid w:val="00466E79"/>
    <w:rsid w:val="00470D7D"/>
    <w:rsid w:val="0047372D"/>
    <w:rsid w:val="00473A93"/>
    <w:rsid w:val="00473BA3"/>
    <w:rsid w:val="004743DD"/>
    <w:rsid w:val="00474773"/>
    <w:rsid w:val="00474CEA"/>
    <w:rsid w:val="00475D09"/>
    <w:rsid w:val="004763B7"/>
    <w:rsid w:val="00477867"/>
    <w:rsid w:val="00481D0C"/>
    <w:rsid w:val="00482046"/>
    <w:rsid w:val="004822DD"/>
    <w:rsid w:val="00483169"/>
    <w:rsid w:val="00483968"/>
    <w:rsid w:val="004841BE"/>
    <w:rsid w:val="00484F86"/>
    <w:rsid w:val="0048713D"/>
    <w:rsid w:val="00487B93"/>
    <w:rsid w:val="00490746"/>
    <w:rsid w:val="00490852"/>
    <w:rsid w:val="00490E6F"/>
    <w:rsid w:val="00491C9C"/>
    <w:rsid w:val="0049288B"/>
    <w:rsid w:val="00492F30"/>
    <w:rsid w:val="00493983"/>
    <w:rsid w:val="00493A25"/>
    <w:rsid w:val="004946F4"/>
    <w:rsid w:val="00494739"/>
    <w:rsid w:val="0049487E"/>
    <w:rsid w:val="00494C60"/>
    <w:rsid w:val="004954C4"/>
    <w:rsid w:val="00497946"/>
    <w:rsid w:val="00497C09"/>
    <w:rsid w:val="004A160D"/>
    <w:rsid w:val="004A279A"/>
    <w:rsid w:val="004A3E81"/>
    <w:rsid w:val="004A4195"/>
    <w:rsid w:val="004A5C62"/>
    <w:rsid w:val="004A5CE5"/>
    <w:rsid w:val="004A707D"/>
    <w:rsid w:val="004A7DA0"/>
    <w:rsid w:val="004B0974"/>
    <w:rsid w:val="004B2822"/>
    <w:rsid w:val="004B37FA"/>
    <w:rsid w:val="004B3878"/>
    <w:rsid w:val="004B4185"/>
    <w:rsid w:val="004B67FF"/>
    <w:rsid w:val="004B7782"/>
    <w:rsid w:val="004B781B"/>
    <w:rsid w:val="004C0E32"/>
    <w:rsid w:val="004C1475"/>
    <w:rsid w:val="004C2B8E"/>
    <w:rsid w:val="004C3FBB"/>
    <w:rsid w:val="004C4B62"/>
    <w:rsid w:val="004C5541"/>
    <w:rsid w:val="004C6EEE"/>
    <w:rsid w:val="004C6F2F"/>
    <w:rsid w:val="004C702B"/>
    <w:rsid w:val="004D0033"/>
    <w:rsid w:val="004D016B"/>
    <w:rsid w:val="004D1632"/>
    <w:rsid w:val="004D1B22"/>
    <w:rsid w:val="004D23CC"/>
    <w:rsid w:val="004D36F2"/>
    <w:rsid w:val="004D46BE"/>
    <w:rsid w:val="004D77A6"/>
    <w:rsid w:val="004D77EC"/>
    <w:rsid w:val="004E1106"/>
    <w:rsid w:val="004E138F"/>
    <w:rsid w:val="004E28C0"/>
    <w:rsid w:val="004E347E"/>
    <w:rsid w:val="004E4649"/>
    <w:rsid w:val="004E5C2B"/>
    <w:rsid w:val="004E6662"/>
    <w:rsid w:val="004E6DDE"/>
    <w:rsid w:val="004E772C"/>
    <w:rsid w:val="004E7FE8"/>
    <w:rsid w:val="004F00DD"/>
    <w:rsid w:val="004F2133"/>
    <w:rsid w:val="004F21FC"/>
    <w:rsid w:val="004F3C8A"/>
    <w:rsid w:val="004F4799"/>
    <w:rsid w:val="004F5398"/>
    <w:rsid w:val="004F55F1"/>
    <w:rsid w:val="004F6936"/>
    <w:rsid w:val="004F756F"/>
    <w:rsid w:val="00500884"/>
    <w:rsid w:val="00502FDC"/>
    <w:rsid w:val="00503DC6"/>
    <w:rsid w:val="00504308"/>
    <w:rsid w:val="005055BD"/>
    <w:rsid w:val="005069C4"/>
    <w:rsid w:val="00506E27"/>
    <w:rsid w:val="00506F5D"/>
    <w:rsid w:val="00510594"/>
    <w:rsid w:val="00510C37"/>
    <w:rsid w:val="005126D0"/>
    <w:rsid w:val="00514667"/>
    <w:rsid w:val="0051568D"/>
    <w:rsid w:val="00516905"/>
    <w:rsid w:val="00517458"/>
    <w:rsid w:val="005234DC"/>
    <w:rsid w:val="00526AC7"/>
    <w:rsid w:val="00526B57"/>
    <w:rsid w:val="00526C15"/>
    <w:rsid w:val="005312F7"/>
    <w:rsid w:val="005331DF"/>
    <w:rsid w:val="0053368E"/>
    <w:rsid w:val="005341FB"/>
    <w:rsid w:val="00536499"/>
    <w:rsid w:val="00536616"/>
    <w:rsid w:val="00536B97"/>
    <w:rsid w:val="00537062"/>
    <w:rsid w:val="005410F4"/>
    <w:rsid w:val="00542251"/>
    <w:rsid w:val="00542A03"/>
    <w:rsid w:val="0054302E"/>
    <w:rsid w:val="005430C3"/>
    <w:rsid w:val="00543903"/>
    <w:rsid w:val="00543BCC"/>
    <w:rsid w:val="00543F11"/>
    <w:rsid w:val="00543F5F"/>
    <w:rsid w:val="005461AC"/>
    <w:rsid w:val="00546305"/>
    <w:rsid w:val="00547A95"/>
    <w:rsid w:val="00547D98"/>
    <w:rsid w:val="0055119B"/>
    <w:rsid w:val="005517C9"/>
    <w:rsid w:val="00554269"/>
    <w:rsid w:val="0055582F"/>
    <w:rsid w:val="00557758"/>
    <w:rsid w:val="005577F7"/>
    <w:rsid w:val="00561202"/>
    <w:rsid w:val="00561266"/>
    <w:rsid w:val="00562347"/>
    <w:rsid w:val="00562507"/>
    <w:rsid w:val="00562811"/>
    <w:rsid w:val="00562FFF"/>
    <w:rsid w:val="00563D6E"/>
    <w:rsid w:val="005658EC"/>
    <w:rsid w:val="00565BEB"/>
    <w:rsid w:val="005662D2"/>
    <w:rsid w:val="00566B7B"/>
    <w:rsid w:val="00571419"/>
    <w:rsid w:val="00572031"/>
    <w:rsid w:val="00572282"/>
    <w:rsid w:val="00572B9D"/>
    <w:rsid w:val="00573CE3"/>
    <w:rsid w:val="00575893"/>
    <w:rsid w:val="00575E18"/>
    <w:rsid w:val="00576029"/>
    <w:rsid w:val="00576150"/>
    <w:rsid w:val="00576E72"/>
    <w:rsid w:val="00576E84"/>
    <w:rsid w:val="00577095"/>
    <w:rsid w:val="00580394"/>
    <w:rsid w:val="00580555"/>
    <w:rsid w:val="005809CD"/>
    <w:rsid w:val="00581EE4"/>
    <w:rsid w:val="00582B8C"/>
    <w:rsid w:val="005844E3"/>
    <w:rsid w:val="00586932"/>
    <w:rsid w:val="0058757E"/>
    <w:rsid w:val="00590656"/>
    <w:rsid w:val="005909B6"/>
    <w:rsid w:val="00591F77"/>
    <w:rsid w:val="00594063"/>
    <w:rsid w:val="00594D27"/>
    <w:rsid w:val="00595674"/>
    <w:rsid w:val="00596A4B"/>
    <w:rsid w:val="00597507"/>
    <w:rsid w:val="005A3443"/>
    <w:rsid w:val="005A4752"/>
    <w:rsid w:val="005A479D"/>
    <w:rsid w:val="005B1C6D"/>
    <w:rsid w:val="005B21B6"/>
    <w:rsid w:val="005B275B"/>
    <w:rsid w:val="005B34C6"/>
    <w:rsid w:val="005B3A08"/>
    <w:rsid w:val="005B4FAA"/>
    <w:rsid w:val="005B5E20"/>
    <w:rsid w:val="005B6AB9"/>
    <w:rsid w:val="005B7017"/>
    <w:rsid w:val="005B7A63"/>
    <w:rsid w:val="005B7B7C"/>
    <w:rsid w:val="005C040D"/>
    <w:rsid w:val="005C0955"/>
    <w:rsid w:val="005C0D58"/>
    <w:rsid w:val="005C1D5E"/>
    <w:rsid w:val="005C219F"/>
    <w:rsid w:val="005C26E2"/>
    <w:rsid w:val="005C49DA"/>
    <w:rsid w:val="005C49E2"/>
    <w:rsid w:val="005C50F3"/>
    <w:rsid w:val="005C54B5"/>
    <w:rsid w:val="005C5D80"/>
    <w:rsid w:val="005C5D91"/>
    <w:rsid w:val="005C6F22"/>
    <w:rsid w:val="005D00B2"/>
    <w:rsid w:val="005D07B8"/>
    <w:rsid w:val="005D1056"/>
    <w:rsid w:val="005D151E"/>
    <w:rsid w:val="005D206A"/>
    <w:rsid w:val="005D4094"/>
    <w:rsid w:val="005D4E51"/>
    <w:rsid w:val="005D6597"/>
    <w:rsid w:val="005E1385"/>
    <w:rsid w:val="005E14E7"/>
    <w:rsid w:val="005E26A3"/>
    <w:rsid w:val="005E2BE0"/>
    <w:rsid w:val="005E2ECB"/>
    <w:rsid w:val="005E3990"/>
    <w:rsid w:val="005E3BF5"/>
    <w:rsid w:val="005E4310"/>
    <w:rsid w:val="005E447E"/>
    <w:rsid w:val="005E4FD1"/>
    <w:rsid w:val="005E5509"/>
    <w:rsid w:val="005E672F"/>
    <w:rsid w:val="005E73B4"/>
    <w:rsid w:val="005F0775"/>
    <w:rsid w:val="005F0CF5"/>
    <w:rsid w:val="005F21EB"/>
    <w:rsid w:val="005F2287"/>
    <w:rsid w:val="005F2DBE"/>
    <w:rsid w:val="005F3AEF"/>
    <w:rsid w:val="005F4521"/>
    <w:rsid w:val="005F5A66"/>
    <w:rsid w:val="005F6488"/>
    <w:rsid w:val="005F64CF"/>
    <w:rsid w:val="005F7971"/>
    <w:rsid w:val="0060068A"/>
    <w:rsid w:val="00601539"/>
    <w:rsid w:val="00602E0B"/>
    <w:rsid w:val="006041AD"/>
    <w:rsid w:val="0060497A"/>
    <w:rsid w:val="00605908"/>
    <w:rsid w:val="00607850"/>
    <w:rsid w:val="00607EF7"/>
    <w:rsid w:val="00610CC9"/>
    <w:rsid w:val="00610D7C"/>
    <w:rsid w:val="00611EC4"/>
    <w:rsid w:val="00613414"/>
    <w:rsid w:val="00613AB5"/>
    <w:rsid w:val="00617DB0"/>
    <w:rsid w:val="00620154"/>
    <w:rsid w:val="006209A6"/>
    <w:rsid w:val="006225F3"/>
    <w:rsid w:val="00623089"/>
    <w:rsid w:val="0062408D"/>
    <w:rsid w:val="006240CC"/>
    <w:rsid w:val="00624940"/>
    <w:rsid w:val="006254F8"/>
    <w:rsid w:val="00627281"/>
    <w:rsid w:val="00627DA7"/>
    <w:rsid w:val="00630DA4"/>
    <w:rsid w:val="00631CD4"/>
    <w:rsid w:val="00632597"/>
    <w:rsid w:val="00632723"/>
    <w:rsid w:val="0063277F"/>
    <w:rsid w:val="00634D13"/>
    <w:rsid w:val="00635616"/>
    <w:rsid w:val="00635707"/>
    <w:rsid w:val="006358B4"/>
    <w:rsid w:val="00636243"/>
    <w:rsid w:val="00641724"/>
    <w:rsid w:val="00641755"/>
    <w:rsid w:val="006419AA"/>
    <w:rsid w:val="006434C3"/>
    <w:rsid w:val="00643756"/>
    <w:rsid w:val="00644107"/>
    <w:rsid w:val="00644B1F"/>
    <w:rsid w:val="00644B7E"/>
    <w:rsid w:val="00644D02"/>
    <w:rsid w:val="006454E6"/>
    <w:rsid w:val="006456EE"/>
    <w:rsid w:val="00645A5D"/>
    <w:rsid w:val="00646235"/>
    <w:rsid w:val="00646A68"/>
    <w:rsid w:val="00646AFD"/>
    <w:rsid w:val="006472D7"/>
    <w:rsid w:val="00647458"/>
    <w:rsid w:val="00647F85"/>
    <w:rsid w:val="00650347"/>
    <w:rsid w:val="006505BD"/>
    <w:rsid w:val="006508EA"/>
    <w:rsid w:val="0065092E"/>
    <w:rsid w:val="0065122E"/>
    <w:rsid w:val="0065256B"/>
    <w:rsid w:val="006557A7"/>
    <w:rsid w:val="00656290"/>
    <w:rsid w:val="006601C9"/>
    <w:rsid w:val="0066045A"/>
    <w:rsid w:val="006608D8"/>
    <w:rsid w:val="00661253"/>
    <w:rsid w:val="006621D7"/>
    <w:rsid w:val="0066302A"/>
    <w:rsid w:val="0066467E"/>
    <w:rsid w:val="00664DB8"/>
    <w:rsid w:val="00664DC3"/>
    <w:rsid w:val="006659F9"/>
    <w:rsid w:val="006660C4"/>
    <w:rsid w:val="00667770"/>
    <w:rsid w:val="00670597"/>
    <w:rsid w:val="006706D0"/>
    <w:rsid w:val="0067292D"/>
    <w:rsid w:val="0067451F"/>
    <w:rsid w:val="0067618E"/>
    <w:rsid w:val="00677574"/>
    <w:rsid w:val="006812ED"/>
    <w:rsid w:val="0068284A"/>
    <w:rsid w:val="00683878"/>
    <w:rsid w:val="00684380"/>
    <w:rsid w:val="0068454C"/>
    <w:rsid w:val="00685954"/>
    <w:rsid w:val="00686056"/>
    <w:rsid w:val="006866D2"/>
    <w:rsid w:val="00690C6A"/>
    <w:rsid w:val="00691B62"/>
    <w:rsid w:val="00693094"/>
    <w:rsid w:val="006933B5"/>
    <w:rsid w:val="00693546"/>
    <w:rsid w:val="0069364E"/>
    <w:rsid w:val="00693D14"/>
    <w:rsid w:val="00695091"/>
    <w:rsid w:val="00696F27"/>
    <w:rsid w:val="00697493"/>
    <w:rsid w:val="006A069E"/>
    <w:rsid w:val="006A18C2"/>
    <w:rsid w:val="006A1A30"/>
    <w:rsid w:val="006A2BCB"/>
    <w:rsid w:val="006A2EAE"/>
    <w:rsid w:val="006A3383"/>
    <w:rsid w:val="006A3750"/>
    <w:rsid w:val="006A37D9"/>
    <w:rsid w:val="006A513D"/>
    <w:rsid w:val="006A59E6"/>
    <w:rsid w:val="006A759F"/>
    <w:rsid w:val="006B077C"/>
    <w:rsid w:val="006B088B"/>
    <w:rsid w:val="006B0C81"/>
    <w:rsid w:val="006B2FD4"/>
    <w:rsid w:val="006B6803"/>
    <w:rsid w:val="006C04FF"/>
    <w:rsid w:val="006C0CCD"/>
    <w:rsid w:val="006C0E11"/>
    <w:rsid w:val="006C1BE4"/>
    <w:rsid w:val="006C47F9"/>
    <w:rsid w:val="006C56EF"/>
    <w:rsid w:val="006C637D"/>
    <w:rsid w:val="006C718C"/>
    <w:rsid w:val="006C778A"/>
    <w:rsid w:val="006C7BBB"/>
    <w:rsid w:val="006C7EA5"/>
    <w:rsid w:val="006C7F47"/>
    <w:rsid w:val="006D0EE6"/>
    <w:rsid w:val="006D0F16"/>
    <w:rsid w:val="006D20E5"/>
    <w:rsid w:val="006D2A3F"/>
    <w:rsid w:val="006D2FBC"/>
    <w:rsid w:val="006D3296"/>
    <w:rsid w:val="006D4BD4"/>
    <w:rsid w:val="006D6DF6"/>
    <w:rsid w:val="006D6E34"/>
    <w:rsid w:val="006D7FC9"/>
    <w:rsid w:val="006E138B"/>
    <w:rsid w:val="006E1867"/>
    <w:rsid w:val="006E3D0F"/>
    <w:rsid w:val="006E400A"/>
    <w:rsid w:val="006E7C00"/>
    <w:rsid w:val="006F0330"/>
    <w:rsid w:val="006F1538"/>
    <w:rsid w:val="006F1E4E"/>
    <w:rsid w:val="006F1FDC"/>
    <w:rsid w:val="006F3021"/>
    <w:rsid w:val="006F51CB"/>
    <w:rsid w:val="006F6B76"/>
    <w:rsid w:val="006F6B8C"/>
    <w:rsid w:val="006F772F"/>
    <w:rsid w:val="0070081B"/>
    <w:rsid w:val="00701147"/>
    <w:rsid w:val="007013EF"/>
    <w:rsid w:val="00701682"/>
    <w:rsid w:val="00704055"/>
    <w:rsid w:val="007055BD"/>
    <w:rsid w:val="00705A82"/>
    <w:rsid w:val="00706691"/>
    <w:rsid w:val="00707776"/>
    <w:rsid w:val="007107F5"/>
    <w:rsid w:val="00711DDF"/>
    <w:rsid w:val="00712C0D"/>
    <w:rsid w:val="00714F9F"/>
    <w:rsid w:val="00715531"/>
    <w:rsid w:val="007173CA"/>
    <w:rsid w:val="007216AA"/>
    <w:rsid w:val="00721AB5"/>
    <w:rsid w:val="00721CFB"/>
    <w:rsid w:val="00721DEF"/>
    <w:rsid w:val="00722EAF"/>
    <w:rsid w:val="00723288"/>
    <w:rsid w:val="00724734"/>
    <w:rsid w:val="00724A43"/>
    <w:rsid w:val="00726CC3"/>
    <w:rsid w:val="007273AC"/>
    <w:rsid w:val="00727F6C"/>
    <w:rsid w:val="00731AD4"/>
    <w:rsid w:val="00732B2E"/>
    <w:rsid w:val="007346E4"/>
    <w:rsid w:val="00734D8B"/>
    <w:rsid w:val="00734DF1"/>
    <w:rsid w:val="00734EFC"/>
    <w:rsid w:val="00735564"/>
    <w:rsid w:val="0073646E"/>
    <w:rsid w:val="00736D84"/>
    <w:rsid w:val="00740B3F"/>
    <w:rsid w:val="00740F22"/>
    <w:rsid w:val="00741CF0"/>
    <w:rsid w:val="00741F1A"/>
    <w:rsid w:val="00743EAF"/>
    <w:rsid w:val="007444F1"/>
    <w:rsid w:val="007447DA"/>
    <w:rsid w:val="007450F8"/>
    <w:rsid w:val="0074696E"/>
    <w:rsid w:val="00746BED"/>
    <w:rsid w:val="00750135"/>
    <w:rsid w:val="00750EC2"/>
    <w:rsid w:val="0075117C"/>
    <w:rsid w:val="00752B28"/>
    <w:rsid w:val="007536BC"/>
    <w:rsid w:val="007541A9"/>
    <w:rsid w:val="00754E36"/>
    <w:rsid w:val="007604F8"/>
    <w:rsid w:val="00762632"/>
    <w:rsid w:val="00763139"/>
    <w:rsid w:val="00765D97"/>
    <w:rsid w:val="00766372"/>
    <w:rsid w:val="00766E7B"/>
    <w:rsid w:val="00767632"/>
    <w:rsid w:val="00770F37"/>
    <w:rsid w:val="007711A0"/>
    <w:rsid w:val="00771D95"/>
    <w:rsid w:val="00772D5E"/>
    <w:rsid w:val="00772DC1"/>
    <w:rsid w:val="00773D1D"/>
    <w:rsid w:val="0077463E"/>
    <w:rsid w:val="00775649"/>
    <w:rsid w:val="00775F47"/>
    <w:rsid w:val="00776928"/>
    <w:rsid w:val="00776D56"/>
    <w:rsid w:val="00776E0F"/>
    <w:rsid w:val="007774B1"/>
    <w:rsid w:val="00777BE1"/>
    <w:rsid w:val="007816A5"/>
    <w:rsid w:val="00782222"/>
    <w:rsid w:val="007833D8"/>
    <w:rsid w:val="00783F02"/>
    <w:rsid w:val="0078488A"/>
    <w:rsid w:val="00785677"/>
    <w:rsid w:val="007869BD"/>
    <w:rsid w:val="00786F16"/>
    <w:rsid w:val="00787847"/>
    <w:rsid w:val="007914E5"/>
    <w:rsid w:val="00791BD7"/>
    <w:rsid w:val="007921B4"/>
    <w:rsid w:val="00792A39"/>
    <w:rsid w:val="007933F7"/>
    <w:rsid w:val="00796A97"/>
    <w:rsid w:val="00796E20"/>
    <w:rsid w:val="00797C32"/>
    <w:rsid w:val="007A11E8"/>
    <w:rsid w:val="007A1366"/>
    <w:rsid w:val="007A26FE"/>
    <w:rsid w:val="007A49FB"/>
    <w:rsid w:val="007A58E8"/>
    <w:rsid w:val="007A636B"/>
    <w:rsid w:val="007A76D4"/>
    <w:rsid w:val="007A78E9"/>
    <w:rsid w:val="007B075F"/>
    <w:rsid w:val="007B0914"/>
    <w:rsid w:val="007B1374"/>
    <w:rsid w:val="007B22CA"/>
    <w:rsid w:val="007B32E5"/>
    <w:rsid w:val="007B3DB9"/>
    <w:rsid w:val="007B4EB2"/>
    <w:rsid w:val="007B589F"/>
    <w:rsid w:val="007B6186"/>
    <w:rsid w:val="007B6B12"/>
    <w:rsid w:val="007B6CCD"/>
    <w:rsid w:val="007B73BC"/>
    <w:rsid w:val="007C07EA"/>
    <w:rsid w:val="007C0821"/>
    <w:rsid w:val="007C16B8"/>
    <w:rsid w:val="007C1838"/>
    <w:rsid w:val="007C1C1B"/>
    <w:rsid w:val="007C20B9"/>
    <w:rsid w:val="007C2DD1"/>
    <w:rsid w:val="007C397B"/>
    <w:rsid w:val="007C579A"/>
    <w:rsid w:val="007C640E"/>
    <w:rsid w:val="007C6489"/>
    <w:rsid w:val="007C7301"/>
    <w:rsid w:val="007C7677"/>
    <w:rsid w:val="007C7859"/>
    <w:rsid w:val="007C7F28"/>
    <w:rsid w:val="007D071F"/>
    <w:rsid w:val="007D1466"/>
    <w:rsid w:val="007D267A"/>
    <w:rsid w:val="007D2BDE"/>
    <w:rsid w:val="007D2FB6"/>
    <w:rsid w:val="007D3664"/>
    <w:rsid w:val="007D49EB"/>
    <w:rsid w:val="007D4BA1"/>
    <w:rsid w:val="007D5E1C"/>
    <w:rsid w:val="007D7192"/>
    <w:rsid w:val="007E0DE2"/>
    <w:rsid w:val="007E3667"/>
    <w:rsid w:val="007E3B98"/>
    <w:rsid w:val="007E417A"/>
    <w:rsid w:val="007E4861"/>
    <w:rsid w:val="007E521A"/>
    <w:rsid w:val="007E5CE0"/>
    <w:rsid w:val="007E5EA9"/>
    <w:rsid w:val="007E62F6"/>
    <w:rsid w:val="007E7341"/>
    <w:rsid w:val="007F181D"/>
    <w:rsid w:val="007F19C8"/>
    <w:rsid w:val="007F31B6"/>
    <w:rsid w:val="007F546C"/>
    <w:rsid w:val="007F625F"/>
    <w:rsid w:val="007F665E"/>
    <w:rsid w:val="007F68B5"/>
    <w:rsid w:val="007F6BD2"/>
    <w:rsid w:val="007F75A4"/>
    <w:rsid w:val="00800412"/>
    <w:rsid w:val="00801FB4"/>
    <w:rsid w:val="00802444"/>
    <w:rsid w:val="00802E96"/>
    <w:rsid w:val="0080587B"/>
    <w:rsid w:val="00806468"/>
    <w:rsid w:val="00806D2D"/>
    <w:rsid w:val="0080731A"/>
    <w:rsid w:val="0081000E"/>
    <w:rsid w:val="008106AD"/>
    <w:rsid w:val="0081091B"/>
    <w:rsid w:val="00810B24"/>
    <w:rsid w:val="00810D01"/>
    <w:rsid w:val="008118AD"/>
    <w:rsid w:val="008119CA"/>
    <w:rsid w:val="0081272C"/>
    <w:rsid w:val="00812BF1"/>
    <w:rsid w:val="008130C4"/>
    <w:rsid w:val="00814877"/>
    <w:rsid w:val="008155F0"/>
    <w:rsid w:val="0081583F"/>
    <w:rsid w:val="0081584E"/>
    <w:rsid w:val="00816735"/>
    <w:rsid w:val="00820141"/>
    <w:rsid w:val="00820E0C"/>
    <w:rsid w:val="00823275"/>
    <w:rsid w:val="0082366F"/>
    <w:rsid w:val="008241F3"/>
    <w:rsid w:val="0082487D"/>
    <w:rsid w:val="00825E89"/>
    <w:rsid w:val="0082652D"/>
    <w:rsid w:val="00827A0B"/>
    <w:rsid w:val="00827DA7"/>
    <w:rsid w:val="008308BE"/>
    <w:rsid w:val="00830A2D"/>
    <w:rsid w:val="00831B47"/>
    <w:rsid w:val="00832CE9"/>
    <w:rsid w:val="008338A2"/>
    <w:rsid w:val="00833C5C"/>
    <w:rsid w:val="00834CB7"/>
    <w:rsid w:val="00834D60"/>
    <w:rsid w:val="00841AA9"/>
    <w:rsid w:val="00843A23"/>
    <w:rsid w:val="008460F7"/>
    <w:rsid w:val="008471FF"/>
    <w:rsid w:val="008474FE"/>
    <w:rsid w:val="00847540"/>
    <w:rsid w:val="008511E3"/>
    <w:rsid w:val="00851992"/>
    <w:rsid w:val="00853EE4"/>
    <w:rsid w:val="00854764"/>
    <w:rsid w:val="00855535"/>
    <w:rsid w:val="00856B74"/>
    <w:rsid w:val="00856DEB"/>
    <w:rsid w:val="00857C5A"/>
    <w:rsid w:val="00861D4D"/>
    <w:rsid w:val="0086255E"/>
    <w:rsid w:val="0086262D"/>
    <w:rsid w:val="008633F0"/>
    <w:rsid w:val="00866031"/>
    <w:rsid w:val="00867D9D"/>
    <w:rsid w:val="00870503"/>
    <w:rsid w:val="00872126"/>
    <w:rsid w:val="00872837"/>
    <w:rsid w:val="00872E0A"/>
    <w:rsid w:val="00873594"/>
    <w:rsid w:val="008742F1"/>
    <w:rsid w:val="00874D82"/>
    <w:rsid w:val="00875285"/>
    <w:rsid w:val="008753E1"/>
    <w:rsid w:val="00875AA7"/>
    <w:rsid w:val="0087621C"/>
    <w:rsid w:val="0087720F"/>
    <w:rsid w:val="0088124F"/>
    <w:rsid w:val="00884195"/>
    <w:rsid w:val="00884B62"/>
    <w:rsid w:val="00884EE6"/>
    <w:rsid w:val="0088529C"/>
    <w:rsid w:val="00887903"/>
    <w:rsid w:val="00887AE0"/>
    <w:rsid w:val="00887BA2"/>
    <w:rsid w:val="00887E33"/>
    <w:rsid w:val="0089024D"/>
    <w:rsid w:val="008913D3"/>
    <w:rsid w:val="0089270A"/>
    <w:rsid w:val="00893759"/>
    <w:rsid w:val="00893AF6"/>
    <w:rsid w:val="00894BC4"/>
    <w:rsid w:val="00894F12"/>
    <w:rsid w:val="00895F7B"/>
    <w:rsid w:val="00896890"/>
    <w:rsid w:val="008A0C1A"/>
    <w:rsid w:val="008A2520"/>
    <w:rsid w:val="008A28A8"/>
    <w:rsid w:val="008A2F7D"/>
    <w:rsid w:val="008A4D0E"/>
    <w:rsid w:val="008A55EE"/>
    <w:rsid w:val="008A567C"/>
    <w:rsid w:val="008A5B32"/>
    <w:rsid w:val="008A5C5C"/>
    <w:rsid w:val="008A6D12"/>
    <w:rsid w:val="008A77AC"/>
    <w:rsid w:val="008B0802"/>
    <w:rsid w:val="008B0D2E"/>
    <w:rsid w:val="008B2029"/>
    <w:rsid w:val="008B2BB3"/>
    <w:rsid w:val="008B2EE4"/>
    <w:rsid w:val="008B3821"/>
    <w:rsid w:val="008B4D3D"/>
    <w:rsid w:val="008B558C"/>
    <w:rsid w:val="008B57C7"/>
    <w:rsid w:val="008B7C7B"/>
    <w:rsid w:val="008C02EF"/>
    <w:rsid w:val="008C0371"/>
    <w:rsid w:val="008C0F93"/>
    <w:rsid w:val="008C1A42"/>
    <w:rsid w:val="008C2F92"/>
    <w:rsid w:val="008C3546"/>
    <w:rsid w:val="008C3604"/>
    <w:rsid w:val="008C3885"/>
    <w:rsid w:val="008C589D"/>
    <w:rsid w:val="008C6336"/>
    <w:rsid w:val="008C6D51"/>
    <w:rsid w:val="008C76AB"/>
    <w:rsid w:val="008C7CC6"/>
    <w:rsid w:val="008D0CD6"/>
    <w:rsid w:val="008D1B2A"/>
    <w:rsid w:val="008D2846"/>
    <w:rsid w:val="008D4236"/>
    <w:rsid w:val="008D462F"/>
    <w:rsid w:val="008D6DCF"/>
    <w:rsid w:val="008E152A"/>
    <w:rsid w:val="008E1C29"/>
    <w:rsid w:val="008E347C"/>
    <w:rsid w:val="008E4376"/>
    <w:rsid w:val="008E5E15"/>
    <w:rsid w:val="008E6CD3"/>
    <w:rsid w:val="008E7A0A"/>
    <w:rsid w:val="008E7B49"/>
    <w:rsid w:val="008E7F15"/>
    <w:rsid w:val="008F0B75"/>
    <w:rsid w:val="008F1160"/>
    <w:rsid w:val="008F144F"/>
    <w:rsid w:val="008F1947"/>
    <w:rsid w:val="008F21AC"/>
    <w:rsid w:val="008F4987"/>
    <w:rsid w:val="008F59F6"/>
    <w:rsid w:val="008F62F9"/>
    <w:rsid w:val="008F6E30"/>
    <w:rsid w:val="008F6F05"/>
    <w:rsid w:val="008F7E4F"/>
    <w:rsid w:val="00900719"/>
    <w:rsid w:val="009017AC"/>
    <w:rsid w:val="00902A9A"/>
    <w:rsid w:val="00903ABF"/>
    <w:rsid w:val="00904A1C"/>
    <w:rsid w:val="00904AA8"/>
    <w:rsid w:val="00904E44"/>
    <w:rsid w:val="00905030"/>
    <w:rsid w:val="00905413"/>
    <w:rsid w:val="00905A65"/>
    <w:rsid w:val="009063C1"/>
    <w:rsid w:val="00906490"/>
    <w:rsid w:val="00910CB7"/>
    <w:rsid w:val="009111B2"/>
    <w:rsid w:val="00912F04"/>
    <w:rsid w:val="0091358F"/>
    <w:rsid w:val="00914A2E"/>
    <w:rsid w:val="009150EF"/>
    <w:rsid w:val="009151F5"/>
    <w:rsid w:val="00923C68"/>
    <w:rsid w:val="00924AE1"/>
    <w:rsid w:val="00924B57"/>
    <w:rsid w:val="00924FBC"/>
    <w:rsid w:val="009269B1"/>
    <w:rsid w:val="0092724D"/>
    <w:rsid w:val="009272B3"/>
    <w:rsid w:val="009315BE"/>
    <w:rsid w:val="00931E68"/>
    <w:rsid w:val="009326DD"/>
    <w:rsid w:val="0093338F"/>
    <w:rsid w:val="00934B2A"/>
    <w:rsid w:val="009363D9"/>
    <w:rsid w:val="00936C25"/>
    <w:rsid w:val="00937349"/>
    <w:rsid w:val="00937BD9"/>
    <w:rsid w:val="00942D94"/>
    <w:rsid w:val="00943656"/>
    <w:rsid w:val="00944D1C"/>
    <w:rsid w:val="00944EFD"/>
    <w:rsid w:val="00945D98"/>
    <w:rsid w:val="00947027"/>
    <w:rsid w:val="00950C80"/>
    <w:rsid w:val="00950E2C"/>
    <w:rsid w:val="00951D50"/>
    <w:rsid w:val="009525EB"/>
    <w:rsid w:val="0095303A"/>
    <w:rsid w:val="00953BD9"/>
    <w:rsid w:val="0095470B"/>
    <w:rsid w:val="00954874"/>
    <w:rsid w:val="009548AE"/>
    <w:rsid w:val="0095615A"/>
    <w:rsid w:val="00956EC1"/>
    <w:rsid w:val="00961400"/>
    <w:rsid w:val="00961C8B"/>
    <w:rsid w:val="009621D2"/>
    <w:rsid w:val="00963091"/>
    <w:rsid w:val="00963646"/>
    <w:rsid w:val="00964A15"/>
    <w:rsid w:val="00964C56"/>
    <w:rsid w:val="0096506F"/>
    <w:rsid w:val="0096632D"/>
    <w:rsid w:val="00967124"/>
    <w:rsid w:val="00967F06"/>
    <w:rsid w:val="0097026C"/>
    <w:rsid w:val="00970F14"/>
    <w:rsid w:val="0097166C"/>
    <w:rsid w:val="009718C7"/>
    <w:rsid w:val="00971A2E"/>
    <w:rsid w:val="00972D1D"/>
    <w:rsid w:val="00974CD6"/>
    <w:rsid w:val="0097559F"/>
    <w:rsid w:val="0097573B"/>
    <w:rsid w:val="009761EA"/>
    <w:rsid w:val="0097761E"/>
    <w:rsid w:val="009809D9"/>
    <w:rsid w:val="00982454"/>
    <w:rsid w:val="00982CF0"/>
    <w:rsid w:val="00983665"/>
    <w:rsid w:val="00984AEF"/>
    <w:rsid w:val="009853E1"/>
    <w:rsid w:val="00986E6B"/>
    <w:rsid w:val="00990032"/>
    <w:rsid w:val="009900CC"/>
    <w:rsid w:val="00990B19"/>
    <w:rsid w:val="0099153B"/>
    <w:rsid w:val="00991769"/>
    <w:rsid w:val="0099232C"/>
    <w:rsid w:val="00993800"/>
    <w:rsid w:val="00993B7C"/>
    <w:rsid w:val="00993FA4"/>
    <w:rsid w:val="00994386"/>
    <w:rsid w:val="00994B41"/>
    <w:rsid w:val="00995533"/>
    <w:rsid w:val="00997F6F"/>
    <w:rsid w:val="009A05F6"/>
    <w:rsid w:val="009A13D8"/>
    <w:rsid w:val="009A1608"/>
    <w:rsid w:val="009A1EE4"/>
    <w:rsid w:val="009A2230"/>
    <w:rsid w:val="009A2260"/>
    <w:rsid w:val="009A279E"/>
    <w:rsid w:val="009A3015"/>
    <w:rsid w:val="009A3490"/>
    <w:rsid w:val="009A463A"/>
    <w:rsid w:val="009A51CE"/>
    <w:rsid w:val="009A5BB1"/>
    <w:rsid w:val="009A5FC7"/>
    <w:rsid w:val="009B026C"/>
    <w:rsid w:val="009B0A6F"/>
    <w:rsid w:val="009B0A94"/>
    <w:rsid w:val="009B0C62"/>
    <w:rsid w:val="009B158A"/>
    <w:rsid w:val="009B1F3D"/>
    <w:rsid w:val="009B282A"/>
    <w:rsid w:val="009B2AE8"/>
    <w:rsid w:val="009B39C1"/>
    <w:rsid w:val="009B4BC3"/>
    <w:rsid w:val="009B5622"/>
    <w:rsid w:val="009B59E9"/>
    <w:rsid w:val="009B6C76"/>
    <w:rsid w:val="009B70AA"/>
    <w:rsid w:val="009B757A"/>
    <w:rsid w:val="009C245E"/>
    <w:rsid w:val="009C2B47"/>
    <w:rsid w:val="009C408D"/>
    <w:rsid w:val="009C5831"/>
    <w:rsid w:val="009C5E77"/>
    <w:rsid w:val="009C680D"/>
    <w:rsid w:val="009C6F72"/>
    <w:rsid w:val="009C7834"/>
    <w:rsid w:val="009C7A7E"/>
    <w:rsid w:val="009D02E8"/>
    <w:rsid w:val="009D1E99"/>
    <w:rsid w:val="009D2FD5"/>
    <w:rsid w:val="009D3173"/>
    <w:rsid w:val="009D3C64"/>
    <w:rsid w:val="009D4C68"/>
    <w:rsid w:val="009D4DFD"/>
    <w:rsid w:val="009D51D0"/>
    <w:rsid w:val="009D58BE"/>
    <w:rsid w:val="009D70A4"/>
    <w:rsid w:val="009D7B14"/>
    <w:rsid w:val="009E0326"/>
    <w:rsid w:val="009E08D1"/>
    <w:rsid w:val="009E0D96"/>
    <w:rsid w:val="009E1B95"/>
    <w:rsid w:val="009E22FC"/>
    <w:rsid w:val="009E2338"/>
    <w:rsid w:val="009E2D82"/>
    <w:rsid w:val="009E33E9"/>
    <w:rsid w:val="009E3514"/>
    <w:rsid w:val="009E496F"/>
    <w:rsid w:val="009E4B0D"/>
    <w:rsid w:val="009E5250"/>
    <w:rsid w:val="009E6004"/>
    <w:rsid w:val="009E6E95"/>
    <w:rsid w:val="009E7A69"/>
    <w:rsid w:val="009E7F92"/>
    <w:rsid w:val="009F02A3"/>
    <w:rsid w:val="009F0389"/>
    <w:rsid w:val="009F0A19"/>
    <w:rsid w:val="009F2182"/>
    <w:rsid w:val="009F2F27"/>
    <w:rsid w:val="009F34AA"/>
    <w:rsid w:val="009F3752"/>
    <w:rsid w:val="009F39F2"/>
    <w:rsid w:val="009F58B7"/>
    <w:rsid w:val="009F69B0"/>
    <w:rsid w:val="009F6BCB"/>
    <w:rsid w:val="009F7B78"/>
    <w:rsid w:val="00A0057A"/>
    <w:rsid w:val="00A02888"/>
    <w:rsid w:val="00A02FA1"/>
    <w:rsid w:val="00A04CCE"/>
    <w:rsid w:val="00A06D74"/>
    <w:rsid w:val="00A0703B"/>
    <w:rsid w:val="00A07421"/>
    <w:rsid w:val="00A0753B"/>
    <w:rsid w:val="00A0776B"/>
    <w:rsid w:val="00A107B0"/>
    <w:rsid w:val="00A10C16"/>
    <w:rsid w:val="00A10FB9"/>
    <w:rsid w:val="00A11421"/>
    <w:rsid w:val="00A13342"/>
    <w:rsid w:val="00A1389F"/>
    <w:rsid w:val="00A1495C"/>
    <w:rsid w:val="00A157B1"/>
    <w:rsid w:val="00A159ED"/>
    <w:rsid w:val="00A15D7C"/>
    <w:rsid w:val="00A17448"/>
    <w:rsid w:val="00A1766B"/>
    <w:rsid w:val="00A21532"/>
    <w:rsid w:val="00A2203F"/>
    <w:rsid w:val="00A22229"/>
    <w:rsid w:val="00A24442"/>
    <w:rsid w:val="00A24ADA"/>
    <w:rsid w:val="00A267FA"/>
    <w:rsid w:val="00A30F76"/>
    <w:rsid w:val="00A32577"/>
    <w:rsid w:val="00A32F3D"/>
    <w:rsid w:val="00A330BB"/>
    <w:rsid w:val="00A34A59"/>
    <w:rsid w:val="00A40327"/>
    <w:rsid w:val="00A41040"/>
    <w:rsid w:val="00A446F5"/>
    <w:rsid w:val="00A44882"/>
    <w:rsid w:val="00A44A6F"/>
    <w:rsid w:val="00A45125"/>
    <w:rsid w:val="00A45914"/>
    <w:rsid w:val="00A45F1B"/>
    <w:rsid w:val="00A50002"/>
    <w:rsid w:val="00A513AA"/>
    <w:rsid w:val="00A515F1"/>
    <w:rsid w:val="00A54715"/>
    <w:rsid w:val="00A57BAC"/>
    <w:rsid w:val="00A6061C"/>
    <w:rsid w:val="00A60AF4"/>
    <w:rsid w:val="00A62D44"/>
    <w:rsid w:val="00A63048"/>
    <w:rsid w:val="00A65B14"/>
    <w:rsid w:val="00A67263"/>
    <w:rsid w:val="00A7161C"/>
    <w:rsid w:val="00A71CE4"/>
    <w:rsid w:val="00A739F8"/>
    <w:rsid w:val="00A7559E"/>
    <w:rsid w:val="00A770EA"/>
    <w:rsid w:val="00A77AA3"/>
    <w:rsid w:val="00A80AFD"/>
    <w:rsid w:val="00A81C0A"/>
    <w:rsid w:val="00A8236D"/>
    <w:rsid w:val="00A854EB"/>
    <w:rsid w:val="00A872E5"/>
    <w:rsid w:val="00A903C5"/>
    <w:rsid w:val="00A90A90"/>
    <w:rsid w:val="00A91406"/>
    <w:rsid w:val="00A92E4D"/>
    <w:rsid w:val="00A95EE1"/>
    <w:rsid w:val="00A96E65"/>
    <w:rsid w:val="00A96ECE"/>
    <w:rsid w:val="00A97C72"/>
    <w:rsid w:val="00AA00DC"/>
    <w:rsid w:val="00AA310B"/>
    <w:rsid w:val="00AA4D4A"/>
    <w:rsid w:val="00AA63D4"/>
    <w:rsid w:val="00AA6F5C"/>
    <w:rsid w:val="00AB06E8"/>
    <w:rsid w:val="00AB0BCF"/>
    <w:rsid w:val="00AB1C76"/>
    <w:rsid w:val="00AB1CD3"/>
    <w:rsid w:val="00AB322E"/>
    <w:rsid w:val="00AB352F"/>
    <w:rsid w:val="00AB44AA"/>
    <w:rsid w:val="00AB4616"/>
    <w:rsid w:val="00AC07D9"/>
    <w:rsid w:val="00AC1743"/>
    <w:rsid w:val="00AC1F7A"/>
    <w:rsid w:val="00AC218A"/>
    <w:rsid w:val="00AC274B"/>
    <w:rsid w:val="00AC394E"/>
    <w:rsid w:val="00AC4764"/>
    <w:rsid w:val="00AC4872"/>
    <w:rsid w:val="00AC4E0D"/>
    <w:rsid w:val="00AC65F6"/>
    <w:rsid w:val="00AC6928"/>
    <w:rsid w:val="00AC6D36"/>
    <w:rsid w:val="00AD0CBA"/>
    <w:rsid w:val="00AD26E2"/>
    <w:rsid w:val="00AD441D"/>
    <w:rsid w:val="00AD5971"/>
    <w:rsid w:val="00AD6AA9"/>
    <w:rsid w:val="00AD73D0"/>
    <w:rsid w:val="00AD784C"/>
    <w:rsid w:val="00AE0EF8"/>
    <w:rsid w:val="00AE126A"/>
    <w:rsid w:val="00AE182A"/>
    <w:rsid w:val="00AE1BAE"/>
    <w:rsid w:val="00AE3005"/>
    <w:rsid w:val="00AE3BD5"/>
    <w:rsid w:val="00AE59A0"/>
    <w:rsid w:val="00AE693C"/>
    <w:rsid w:val="00AE7794"/>
    <w:rsid w:val="00AE7ECD"/>
    <w:rsid w:val="00AF0C57"/>
    <w:rsid w:val="00AF1CFE"/>
    <w:rsid w:val="00AF26F3"/>
    <w:rsid w:val="00AF2AA0"/>
    <w:rsid w:val="00AF2B67"/>
    <w:rsid w:val="00AF5F04"/>
    <w:rsid w:val="00AF6260"/>
    <w:rsid w:val="00AF6457"/>
    <w:rsid w:val="00AF6657"/>
    <w:rsid w:val="00AF6F27"/>
    <w:rsid w:val="00AF73CA"/>
    <w:rsid w:val="00B00672"/>
    <w:rsid w:val="00B0157E"/>
    <w:rsid w:val="00B01B4D"/>
    <w:rsid w:val="00B025CD"/>
    <w:rsid w:val="00B034A9"/>
    <w:rsid w:val="00B04136"/>
    <w:rsid w:val="00B04489"/>
    <w:rsid w:val="00B06571"/>
    <w:rsid w:val="00B068BA"/>
    <w:rsid w:val="00B07217"/>
    <w:rsid w:val="00B1007A"/>
    <w:rsid w:val="00B10265"/>
    <w:rsid w:val="00B1082C"/>
    <w:rsid w:val="00B10E75"/>
    <w:rsid w:val="00B1255D"/>
    <w:rsid w:val="00B127AB"/>
    <w:rsid w:val="00B134A8"/>
    <w:rsid w:val="00B136EF"/>
    <w:rsid w:val="00B13851"/>
    <w:rsid w:val="00B13B1C"/>
    <w:rsid w:val="00B14B5F"/>
    <w:rsid w:val="00B15D48"/>
    <w:rsid w:val="00B205AA"/>
    <w:rsid w:val="00B20D32"/>
    <w:rsid w:val="00B2170F"/>
    <w:rsid w:val="00B21F90"/>
    <w:rsid w:val="00B22291"/>
    <w:rsid w:val="00B23F9A"/>
    <w:rsid w:val="00B2417B"/>
    <w:rsid w:val="00B24E6F"/>
    <w:rsid w:val="00B26CB5"/>
    <w:rsid w:val="00B2752E"/>
    <w:rsid w:val="00B278E8"/>
    <w:rsid w:val="00B307CC"/>
    <w:rsid w:val="00B326B7"/>
    <w:rsid w:val="00B3504A"/>
    <w:rsid w:val="00B3588E"/>
    <w:rsid w:val="00B36057"/>
    <w:rsid w:val="00B37314"/>
    <w:rsid w:val="00B40E96"/>
    <w:rsid w:val="00B417A3"/>
    <w:rsid w:val="00B4198F"/>
    <w:rsid w:val="00B41F3D"/>
    <w:rsid w:val="00B42DED"/>
    <w:rsid w:val="00B431E8"/>
    <w:rsid w:val="00B4383D"/>
    <w:rsid w:val="00B443BF"/>
    <w:rsid w:val="00B44DFF"/>
    <w:rsid w:val="00B45141"/>
    <w:rsid w:val="00B45457"/>
    <w:rsid w:val="00B46608"/>
    <w:rsid w:val="00B519CD"/>
    <w:rsid w:val="00B5273A"/>
    <w:rsid w:val="00B53CD7"/>
    <w:rsid w:val="00B55B4C"/>
    <w:rsid w:val="00B57329"/>
    <w:rsid w:val="00B60E61"/>
    <w:rsid w:val="00B62B50"/>
    <w:rsid w:val="00B62C79"/>
    <w:rsid w:val="00B635B7"/>
    <w:rsid w:val="00B63AE8"/>
    <w:rsid w:val="00B65950"/>
    <w:rsid w:val="00B65B2D"/>
    <w:rsid w:val="00B66002"/>
    <w:rsid w:val="00B66D83"/>
    <w:rsid w:val="00B672C0"/>
    <w:rsid w:val="00B676FD"/>
    <w:rsid w:val="00B678B6"/>
    <w:rsid w:val="00B72FDF"/>
    <w:rsid w:val="00B75646"/>
    <w:rsid w:val="00B76293"/>
    <w:rsid w:val="00B7629E"/>
    <w:rsid w:val="00B76E4B"/>
    <w:rsid w:val="00B77BD4"/>
    <w:rsid w:val="00B80228"/>
    <w:rsid w:val="00B80362"/>
    <w:rsid w:val="00B820F8"/>
    <w:rsid w:val="00B82CDE"/>
    <w:rsid w:val="00B82F9B"/>
    <w:rsid w:val="00B84C42"/>
    <w:rsid w:val="00B859A9"/>
    <w:rsid w:val="00B86244"/>
    <w:rsid w:val="00B86315"/>
    <w:rsid w:val="00B875D9"/>
    <w:rsid w:val="00B90729"/>
    <w:rsid w:val="00B907DA"/>
    <w:rsid w:val="00B91E26"/>
    <w:rsid w:val="00B9445D"/>
    <w:rsid w:val="00B94C5E"/>
    <w:rsid w:val="00B950BC"/>
    <w:rsid w:val="00B95817"/>
    <w:rsid w:val="00B9709E"/>
    <w:rsid w:val="00B9714C"/>
    <w:rsid w:val="00B971CF"/>
    <w:rsid w:val="00B978D0"/>
    <w:rsid w:val="00BA007C"/>
    <w:rsid w:val="00BA1BBC"/>
    <w:rsid w:val="00BA29AD"/>
    <w:rsid w:val="00BA302A"/>
    <w:rsid w:val="00BA33CF"/>
    <w:rsid w:val="00BA3F8D"/>
    <w:rsid w:val="00BA4109"/>
    <w:rsid w:val="00BA49E3"/>
    <w:rsid w:val="00BA6290"/>
    <w:rsid w:val="00BA7095"/>
    <w:rsid w:val="00BB3E3F"/>
    <w:rsid w:val="00BB5E17"/>
    <w:rsid w:val="00BB72A2"/>
    <w:rsid w:val="00BB784C"/>
    <w:rsid w:val="00BB7A10"/>
    <w:rsid w:val="00BB7D13"/>
    <w:rsid w:val="00BB7FDD"/>
    <w:rsid w:val="00BC12E7"/>
    <w:rsid w:val="00BC28B4"/>
    <w:rsid w:val="00BC3BC5"/>
    <w:rsid w:val="00BC44D3"/>
    <w:rsid w:val="00BC4920"/>
    <w:rsid w:val="00BC4E90"/>
    <w:rsid w:val="00BC5A7E"/>
    <w:rsid w:val="00BC60BE"/>
    <w:rsid w:val="00BC6585"/>
    <w:rsid w:val="00BC7468"/>
    <w:rsid w:val="00BC7D4F"/>
    <w:rsid w:val="00BC7ED7"/>
    <w:rsid w:val="00BD14B4"/>
    <w:rsid w:val="00BD1E40"/>
    <w:rsid w:val="00BD1E73"/>
    <w:rsid w:val="00BD2850"/>
    <w:rsid w:val="00BD39AB"/>
    <w:rsid w:val="00BD3BA8"/>
    <w:rsid w:val="00BD6C4D"/>
    <w:rsid w:val="00BD763A"/>
    <w:rsid w:val="00BE02BD"/>
    <w:rsid w:val="00BE0648"/>
    <w:rsid w:val="00BE08F8"/>
    <w:rsid w:val="00BE1830"/>
    <w:rsid w:val="00BE28D2"/>
    <w:rsid w:val="00BE2DF5"/>
    <w:rsid w:val="00BE3276"/>
    <w:rsid w:val="00BE4A64"/>
    <w:rsid w:val="00BE4C00"/>
    <w:rsid w:val="00BE5E43"/>
    <w:rsid w:val="00BE6175"/>
    <w:rsid w:val="00BE7D3C"/>
    <w:rsid w:val="00BF1AEA"/>
    <w:rsid w:val="00BF1DC1"/>
    <w:rsid w:val="00BF499B"/>
    <w:rsid w:val="00BF522A"/>
    <w:rsid w:val="00BF557D"/>
    <w:rsid w:val="00BF658D"/>
    <w:rsid w:val="00BF661C"/>
    <w:rsid w:val="00BF72E1"/>
    <w:rsid w:val="00BF7F58"/>
    <w:rsid w:val="00C01381"/>
    <w:rsid w:val="00C01AB1"/>
    <w:rsid w:val="00C026A0"/>
    <w:rsid w:val="00C02851"/>
    <w:rsid w:val="00C02F9E"/>
    <w:rsid w:val="00C03328"/>
    <w:rsid w:val="00C035C2"/>
    <w:rsid w:val="00C03A91"/>
    <w:rsid w:val="00C05A38"/>
    <w:rsid w:val="00C06137"/>
    <w:rsid w:val="00C06602"/>
    <w:rsid w:val="00C06929"/>
    <w:rsid w:val="00C07858"/>
    <w:rsid w:val="00C079B8"/>
    <w:rsid w:val="00C10037"/>
    <w:rsid w:val="00C10699"/>
    <w:rsid w:val="00C115E1"/>
    <w:rsid w:val="00C11726"/>
    <w:rsid w:val="00C11981"/>
    <w:rsid w:val="00C11D69"/>
    <w:rsid w:val="00C11E5C"/>
    <w:rsid w:val="00C123EA"/>
    <w:rsid w:val="00C12A49"/>
    <w:rsid w:val="00C133EE"/>
    <w:rsid w:val="00C135C9"/>
    <w:rsid w:val="00C13960"/>
    <w:rsid w:val="00C13EF3"/>
    <w:rsid w:val="00C149D0"/>
    <w:rsid w:val="00C158C7"/>
    <w:rsid w:val="00C15D95"/>
    <w:rsid w:val="00C16657"/>
    <w:rsid w:val="00C16C68"/>
    <w:rsid w:val="00C17026"/>
    <w:rsid w:val="00C17403"/>
    <w:rsid w:val="00C1795C"/>
    <w:rsid w:val="00C20B11"/>
    <w:rsid w:val="00C23EA0"/>
    <w:rsid w:val="00C24FBD"/>
    <w:rsid w:val="00C25C18"/>
    <w:rsid w:val="00C2643C"/>
    <w:rsid w:val="00C26588"/>
    <w:rsid w:val="00C2753C"/>
    <w:rsid w:val="00C27DE9"/>
    <w:rsid w:val="00C32989"/>
    <w:rsid w:val="00C32E4B"/>
    <w:rsid w:val="00C33388"/>
    <w:rsid w:val="00C34E34"/>
    <w:rsid w:val="00C35484"/>
    <w:rsid w:val="00C4173A"/>
    <w:rsid w:val="00C4309F"/>
    <w:rsid w:val="00C440D6"/>
    <w:rsid w:val="00C451E8"/>
    <w:rsid w:val="00C46F83"/>
    <w:rsid w:val="00C50DED"/>
    <w:rsid w:val="00C52217"/>
    <w:rsid w:val="00C543DE"/>
    <w:rsid w:val="00C553A2"/>
    <w:rsid w:val="00C5590A"/>
    <w:rsid w:val="00C602FF"/>
    <w:rsid w:val="00C60411"/>
    <w:rsid w:val="00C61174"/>
    <w:rsid w:val="00C6148F"/>
    <w:rsid w:val="00C61A10"/>
    <w:rsid w:val="00C61BB9"/>
    <w:rsid w:val="00C621B1"/>
    <w:rsid w:val="00C62E32"/>
    <w:rsid w:val="00C62F7A"/>
    <w:rsid w:val="00C6383B"/>
    <w:rsid w:val="00C63B9C"/>
    <w:rsid w:val="00C6582A"/>
    <w:rsid w:val="00C65AF1"/>
    <w:rsid w:val="00C6682F"/>
    <w:rsid w:val="00C67BF4"/>
    <w:rsid w:val="00C705EE"/>
    <w:rsid w:val="00C70777"/>
    <w:rsid w:val="00C70B6B"/>
    <w:rsid w:val="00C70E51"/>
    <w:rsid w:val="00C71421"/>
    <w:rsid w:val="00C72154"/>
    <w:rsid w:val="00C7275E"/>
    <w:rsid w:val="00C731AF"/>
    <w:rsid w:val="00C74C5D"/>
    <w:rsid w:val="00C7753B"/>
    <w:rsid w:val="00C80D91"/>
    <w:rsid w:val="00C81E48"/>
    <w:rsid w:val="00C84E63"/>
    <w:rsid w:val="00C863C4"/>
    <w:rsid w:val="00C86704"/>
    <w:rsid w:val="00C8782B"/>
    <w:rsid w:val="00C90569"/>
    <w:rsid w:val="00C90DAB"/>
    <w:rsid w:val="00C91549"/>
    <w:rsid w:val="00C920EA"/>
    <w:rsid w:val="00C92BCD"/>
    <w:rsid w:val="00C93C3E"/>
    <w:rsid w:val="00C95FDF"/>
    <w:rsid w:val="00C961CE"/>
    <w:rsid w:val="00C96E5F"/>
    <w:rsid w:val="00C97DF5"/>
    <w:rsid w:val="00CA044A"/>
    <w:rsid w:val="00CA12E3"/>
    <w:rsid w:val="00CA1476"/>
    <w:rsid w:val="00CA1B25"/>
    <w:rsid w:val="00CA2C4E"/>
    <w:rsid w:val="00CA6611"/>
    <w:rsid w:val="00CA6AE6"/>
    <w:rsid w:val="00CA7223"/>
    <w:rsid w:val="00CA7626"/>
    <w:rsid w:val="00CA782F"/>
    <w:rsid w:val="00CB0EDA"/>
    <w:rsid w:val="00CB135D"/>
    <w:rsid w:val="00CB1731"/>
    <w:rsid w:val="00CB187B"/>
    <w:rsid w:val="00CB189F"/>
    <w:rsid w:val="00CB1EE5"/>
    <w:rsid w:val="00CB2621"/>
    <w:rsid w:val="00CB2682"/>
    <w:rsid w:val="00CB2835"/>
    <w:rsid w:val="00CB3285"/>
    <w:rsid w:val="00CB4500"/>
    <w:rsid w:val="00CB5466"/>
    <w:rsid w:val="00CB5EA8"/>
    <w:rsid w:val="00CC00FB"/>
    <w:rsid w:val="00CC0C72"/>
    <w:rsid w:val="00CC27B1"/>
    <w:rsid w:val="00CC2BFD"/>
    <w:rsid w:val="00CC37D1"/>
    <w:rsid w:val="00CC4CEE"/>
    <w:rsid w:val="00CC6CB8"/>
    <w:rsid w:val="00CC6F40"/>
    <w:rsid w:val="00CC6F91"/>
    <w:rsid w:val="00CC71D7"/>
    <w:rsid w:val="00CD2A40"/>
    <w:rsid w:val="00CD2CA5"/>
    <w:rsid w:val="00CD3476"/>
    <w:rsid w:val="00CD64DF"/>
    <w:rsid w:val="00CE039F"/>
    <w:rsid w:val="00CE225F"/>
    <w:rsid w:val="00CE3FA0"/>
    <w:rsid w:val="00CF1DD6"/>
    <w:rsid w:val="00CF230C"/>
    <w:rsid w:val="00CF2380"/>
    <w:rsid w:val="00CF2F50"/>
    <w:rsid w:val="00CF4EF1"/>
    <w:rsid w:val="00CF5EF2"/>
    <w:rsid w:val="00CF6198"/>
    <w:rsid w:val="00CF65BD"/>
    <w:rsid w:val="00CF67AC"/>
    <w:rsid w:val="00CF79E3"/>
    <w:rsid w:val="00CF7CAB"/>
    <w:rsid w:val="00D02919"/>
    <w:rsid w:val="00D0453C"/>
    <w:rsid w:val="00D04C61"/>
    <w:rsid w:val="00D052C3"/>
    <w:rsid w:val="00D056EB"/>
    <w:rsid w:val="00D05B8D"/>
    <w:rsid w:val="00D05B9B"/>
    <w:rsid w:val="00D065A2"/>
    <w:rsid w:val="00D06BF6"/>
    <w:rsid w:val="00D079AA"/>
    <w:rsid w:val="00D07F00"/>
    <w:rsid w:val="00D1130F"/>
    <w:rsid w:val="00D13794"/>
    <w:rsid w:val="00D14456"/>
    <w:rsid w:val="00D1656A"/>
    <w:rsid w:val="00D171B0"/>
    <w:rsid w:val="00D17B72"/>
    <w:rsid w:val="00D20254"/>
    <w:rsid w:val="00D2229E"/>
    <w:rsid w:val="00D2329F"/>
    <w:rsid w:val="00D23AED"/>
    <w:rsid w:val="00D24242"/>
    <w:rsid w:val="00D25581"/>
    <w:rsid w:val="00D25BE7"/>
    <w:rsid w:val="00D26B32"/>
    <w:rsid w:val="00D26BC8"/>
    <w:rsid w:val="00D27061"/>
    <w:rsid w:val="00D3102D"/>
    <w:rsid w:val="00D3185C"/>
    <w:rsid w:val="00D3205F"/>
    <w:rsid w:val="00D3318E"/>
    <w:rsid w:val="00D33E72"/>
    <w:rsid w:val="00D35BD6"/>
    <w:rsid w:val="00D361B5"/>
    <w:rsid w:val="00D37118"/>
    <w:rsid w:val="00D371EA"/>
    <w:rsid w:val="00D411A2"/>
    <w:rsid w:val="00D43E3D"/>
    <w:rsid w:val="00D450FC"/>
    <w:rsid w:val="00D4606D"/>
    <w:rsid w:val="00D47695"/>
    <w:rsid w:val="00D50B9C"/>
    <w:rsid w:val="00D513AF"/>
    <w:rsid w:val="00D51C82"/>
    <w:rsid w:val="00D52D73"/>
    <w:rsid w:val="00D52E58"/>
    <w:rsid w:val="00D54479"/>
    <w:rsid w:val="00D54FDB"/>
    <w:rsid w:val="00D55895"/>
    <w:rsid w:val="00D56B20"/>
    <w:rsid w:val="00D578B3"/>
    <w:rsid w:val="00D60E0B"/>
    <w:rsid w:val="00D61123"/>
    <w:rsid w:val="00D618F4"/>
    <w:rsid w:val="00D63636"/>
    <w:rsid w:val="00D6366A"/>
    <w:rsid w:val="00D63B50"/>
    <w:rsid w:val="00D649EB"/>
    <w:rsid w:val="00D65944"/>
    <w:rsid w:val="00D666FC"/>
    <w:rsid w:val="00D714CC"/>
    <w:rsid w:val="00D72F9F"/>
    <w:rsid w:val="00D73C81"/>
    <w:rsid w:val="00D74585"/>
    <w:rsid w:val="00D75480"/>
    <w:rsid w:val="00D75EA7"/>
    <w:rsid w:val="00D76810"/>
    <w:rsid w:val="00D77252"/>
    <w:rsid w:val="00D77405"/>
    <w:rsid w:val="00D7751D"/>
    <w:rsid w:val="00D800FB"/>
    <w:rsid w:val="00D809FD"/>
    <w:rsid w:val="00D80DF4"/>
    <w:rsid w:val="00D81ADF"/>
    <w:rsid w:val="00D81F21"/>
    <w:rsid w:val="00D82DF4"/>
    <w:rsid w:val="00D83A2A"/>
    <w:rsid w:val="00D864F2"/>
    <w:rsid w:val="00D86550"/>
    <w:rsid w:val="00D8784B"/>
    <w:rsid w:val="00D91287"/>
    <w:rsid w:val="00D91957"/>
    <w:rsid w:val="00D91E42"/>
    <w:rsid w:val="00D943F8"/>
    <w:rsid w:val="00D951AD"/>
    <w:rsid w:val="00D95470"/>
    <w:rsid w:val="00D96B55"/>
    <w:rsid w:val="00D9738A"/>
    <w:rsid w:val="00D97457"/>
    <w:rsid w:val="00DA0143"/>
    <w:rsid w:val="00DA1BED"/>
    <w:rsid w:val="00DA2619"/>
    <w:rsid w:val="00DA4239"/>
    <w:rsid w:val="00DA4D59"/>
    <w:rsid w:val="00DA588C"/>
    <w:rsid w:val="00DA645D"/>
    <w:rsid w:val="00DA65DE"/>
    <w:rsid w:val="00DA65DF"/>
    <w:rsid w:val="00DA6C0E"/>
    <w:rsid w:val="00DB01CD"/>
    <w:rsid w:val="00DB084E"/>
    <w:rsid w:val="00DB0B61"/>
    <w:rsid w:val="00DB0BF0"/>
    <w:rsid w:val="00DB1474"/>
    <w:rsid w:val="00DB2962"/>
    <w:rsid w:val="00DB41A8"/>
    <w:rsid w:val="00DB52FB"/>
    <w:rsid w:val="00DB5EC8"/>
    <w:rsid w:val="00DB6360"/>
    <w:rsid w:val="00DC00C1"/>
    <w:rsid w:val="00DC013B"/>
    <w:rsid w:val="00DC090B"/>
    <w:rsid w:val="00DC15DD"/>
    <w:rsid w:val="00DC1679"/>
    <w:rsid w:val="00DC219B"/>
    <w:rsid w:val="00DC2CF1"/>
    <w:rsid w:val="00DC2DC7"/>
    <w:rsid w:val="00DC3711"/>
    <w:rsid w:val="00DC3A7C"/>
    <w:rsid w:val="00DC4FCF"/>
    <w:rsid w:val="00DC50E0"/>
    <w:rsid w:val="00DC58D0"/>
    <w:rsid w:val="00DC6386"/>
    <w:rsid w:val="00DC6911"/>
    <w:rsid w:val="00DC6978"/>
    <w:rsid w:val="00DD0439"/>
    <w:rsid w:val="00DD1130"/>
    <w:rsid w:val="00DD1951"/>
    <w:rsid w:val="00DD1CB3"/>
    <w:rsid w:val="00DD2789"/>
    <w:rsid w:val="00DD2CA7"/>
    <w:rsid w:val="00DD3397"/>
    <w:rsid w:val="00DD487D"/>
    <w:rsid w:val="00DD4E83"/>
    <w:rsid w:val="00DD5691"/>
    <w:rsid w:val="00DD56CC"/>
    <w:rsid w:val="00DD5C6F"/>
    <w:rsid w:val="00DD6552"/>
    <w:rsid w:val="00DD6628"/>
    <w:rsid w:val="00DD6945"/>
    <w:rsid w:val="00DD70EA"/>
    <w:rsid w:val="00DE21BE"/>
    <w:rsid w:val="00DE25FC"/>
    <w:rsid w:val="00DE2D04"/>
    <w:rsid w:val="00DE3250"/>
    <w:rsid w:val="00DE4EEF"/>
    <w:rsid w:val="00DE6028"/>
    <w:rsid w:val="00DE6569"/>
    <w:rsid w:val="00DE65AF"/>
    <w:rsid w:val="00DE6C85"/>
    <w:rsid w:val="00DE78A3"/>
    <w:rsid w:val="00DE7FEB"/>
    <w:rsid w:val="00DF0291"/>
    <w:rsid w:val="00DF11FD"/>
    <w:rsid w:val="00DF1A71"/>
    <w:rsid w:val="00DF1C4C"/>
    <w:rsid w:val="00DF2572"/>
    <w:rsid w:val="00DF263A"/>
    <w:rsid w:val="00DF3B90"/>
    <w:rsid w:val="00DF3F0A"/>
    <w:rsid w:val="00DF4640"/>
    <w:rsid w:val="00DF50FC"/>
    <w:rsid w:val="00DF68C7"/>
    <w:rsid w:val="00DF731A"/>
    <w:rsid w:val="00E00147"/>
    <w:rsid w:val="00E0410E"/>
    <w:rsid w:val="00E04BBB"/>
    <w:rsid w:val="00E06A1A"/>
    <w:rsid w:val="00E06B75"/>
    <w:rsid w:val="00E108A4"/>
    <w:rsid w:val="00E110D3"/>
    <w:rsid w:val="00E11332"/>
    <w:rsid w:val="00E11352"/>
    <w:rsid w:val="00E11A4D"/>
    <w:rsid w:val="00E11C30"/>
    <w:rsid w:val="00E12319"/>
    <w:rsid w:val="00E13C56"/>
    <w:rsid w:val="00E147C5"/>
    <w:rsid w:val="00E147E5"/>
    <w:rsid w:val="00E1492E"/>
    <w:rsid w:val="00E150C4"/>
    <w:rsid w:val="00E15DAC"/>
    <w:rsid w:val="00E170DC"/>
    <w:rsid w:val="00E17546"/>
    <w:rsid w:val="00E210B5"/>
    <w:rsid w:val="00E21C0C"/>
    <w:rsid w:val="00E23BBF"/>
    <w:rsid w:val="00E24B9A"/>
    <w:rsid w:val="00E254A5"/>
    <w:rsid w:val="00E261B3"/>
    <w:rsid w:val="00E263DE"/>
    <w:rsid w:val="00E26818"/>
    <w:rsid w:val="00E270CE"/>
    <w:rsid w:val="00E27FFC"/>
    <w:rsid w:val="00E30B15"/>
    <w:rsid w:val="00E32B2F"/>
    <w:rsid w:val="00E32ED3"/>
    <w:rsid w:val="00E33237"/>
    <w:rsid w:val="00E336C9"/>
    <w:rsid w:val="00E338C1"/>
    <w:rsid w:val="00E33B2F"/>
    <w:rsid w:val="00E340AD"/>
    <w:rsid w:val="00E345EF"/>
    <w:rsid w:val="00E348E1"/>
    <w:rsid w:val="00E35812"/>
    <w:rsid w:val="00E35D03"/>
    <w:rsid w:val="00E40181"/>
    <w:rsid w:val="00E40D25"/>
    <w:rsid w:val="00E42834"/>
    <w:rsid w:val="00E44570"/>
    <w:rsid w:val="00E4676E"/>
    <w:rsid w:val="00E510FD"/>
    <w:rsid w:val="00E52958"/>
    <w:rsid w:val="00E535EC"/>
    <w:rsid w:val="00E53D0A"/>
    <w:rsid w:val="00E54950"/>
    <w:rsid w:val="00E55EFE"/>
    <w:rsid w:val="00E55FB3"/>
    <w:rsid w:val="00E56A01"/>
    <w:rsid w:val="00E629A1"/>
    <w:rsid w:val="00E62B94"/>
    <w:rsid w:val="00E62BB2"/>
    <w:rsid w:val="00E65E52"/>
    <w:rsid w:val="00E6672A"/>
    <w:rsid w:val="00E6794C"/>
    <w:rsid w:val="00E70E42"/>
    <w:rsid w:val="00E71591"/>
    <w:rsid w:val="00E71703"/>
    <w:rsid w:val="00E71ADB"/>
    <w:rsid w:val="00E71CEB"/>
    <w:rsid w:val="00E7474F"/>
    <w:rsid w:val="00E74F7A"/>
    <w:rsid w:val="00E75288"/>
    <w:rsid w:val="00E754F5"/>
    <w:rsid w:val="00E80DE3"/>
    <w:rsid w:val="00E812AF"/>
    <w:rsid w:val="00E8202C"/>
    <w:rsid w:val="00E82199"/>
    <w:rsid w:val="00E827F5"/>
    <w:rsid w:val="00E82C55"/>
    <w:rsid w:val="00E836D5"/>
    <w:rsid w:val="00E838CF"/>
    <w:rsid w:val="00E83EA7"/>
    <w:rsid w:val="00E856A9"/>
    <w:rsid w:val="00E869EF"/>
    <w:rsid w:val="00E870F7"/>
    <w:rsid w:val="00E8787E"/>
    <w:rsid w:val="00E90938"/>
    <w:rsid w:val="00E91504"/>
    <w:rsid w:val="00E9245D"/>
    <w:rsid w:val="00E92AC3"/>
    <w:rsid w:val="00E92FCC"/>
    <w:rsid w:val="00E9496D"/>
    <w:rsid w:val="00E95463"/>
    <w:rsid w:val="00E95A64"/>
    <w:rsid w:val="00E95BDD"/>
    <w:rsid w:val="00E97B10"/>
    <w:rsid w:val="00EA0E93"/>
    <w:rsid w:val="00EA1159"/>
    <w:rsid w:val="00EA19F5"/>
    <w:rsid w:val="00EA2F6A"/>
    <w:rsid w:val="00EA4BB1"/>
    <w:rsid w:val="00EA508A"/>
    <w:rsid w:val="00EA5131"/>
    <w:rsid w:val="00EA64AB"/>
    <w:rsid w:val="00EA7EC3"/>
    <w:rsid w:val="00EB00E0"/>
    <w:rsid w:val="00EB05D5"/>
    <w:rsid w:val="00EB0C5C"/>
    <w:rsid w:val="00EB308D"/>
    <w:rsid w:val="00EB397A"/>
    <w:rsid w:val="00EB3ECF"/>
    <w:rsid w:val="00EB475F"/>
    <w:rsid w:val="00EB4BC7"/>
    <w:rsid w:val="00EB6BAD"/>
    <w:rsid w:val="00EB7DF8"/>
    <w:rsid w:val="00EC059F"/>
    <w:rsid w:val="00EC1199"/>
    <w:rsid w:val="00EC1393"/>
    <w:rsid w:val="00EC1576"/>
    <w:rsid w:val="00EC15B5"/>
    <w:rsid w:val="00EC19BF"/>
    <w:rsid w:val="00EC1F24"/>
    <w:rsid w:val="00EC22F6"/>
    <w:rsid w:val="00EC3407"/>
    <w:rsid w:val="00EC3DB9"/>
    <w:rsid w:val="00EC57AF"/>
    <w:rsid w:val="00EC5BB5"/>
    <w:rsid w:val="00EC6582"/>
    <w:rsid w:val="00EC6E8F"/>
    <w:rsid w:val="00ED1782"/>
    <w:rsid w:val="00ED2CB6"/>
    <w:rsid w:val="00ED5B9B"/>
    <w:rsid w:val="00ED6A3E"/>
    <w:rsid w:val="00ED6BAD"/>
    <w:rsid w:val="00ED7447"/>
    <w:rsid w:val="00ED7762"/>
    <w:rsid w:val="00EE0060"/>
    <w:rsid w:val="00EE00D6"/>
    <w:rsid w:val="00EE076E"/>
    <w:rsid w:val="00EE11E7"/>
    <w:rsid w:val="00EE1488"/>
    <w:rsid w:val="00EE29AD"/>
    <w:rsid w:val="00EE2A25"/>
    <w:rsid w:val="00EE3E24"/>
    <w:rsid w:val="00EE4781"/>
    <w:rsid w:val="00EE4D5D"/>
    <w:rsid w:val="00EE5131"/>
    <w:rsid w:val="00EE54FE"/>
    <w:rsid w:val="00EE691C"/>
    <w:rsid w:val="00EF07E9"/>
    <w:rsid w:val="00EF109B"/>
    <w:rsid w:val="00EF10F7"/>
    <w:rsid w:val="00EF12C0"/>
    <w:rsid w:val="00EF137C"/>
    <w:rsid w:val="00EF1B0B"/>
    <w:rsid w:val="00EF201C"/>
    <w:rsid w:val="00EF2C72"/>
    <w:rsid w:val="00EF36AF"/>
    <w:rsid w:val="00EF59A3"/>
    <w:rsid w:val="00EF6675"/>
    <w:rsid w:val="00F0063D"/>
    <w:rsid w:val="00F00AFB"/>
    <w:rsid w:val="00F00F9C"/>
    <w:rsid w:val="00F01E5F"/>
    <w:rsid w:val="00F024F3"/>
    <w:rsid w:val="00F02ABA"/>
    <w:rsid w:val="00F0423C"/>
    <w:rsid w:val="00F0437A"/>
    <w:rsid w:val="00F05CC5"/>
    <w:rsid w:val="00F063E1"/>
    <w:rsid w:val="00F101B8"/>
    <w:rsid w:val="00F11037"/>
    <w:rsid w:val="00F121F7"/>
    <w:rsid w:val="00F126C6"/>
    <w:rsid w:val="00F127E1"/>
    <w:rsid w:val="00F14A52"/>
    <w:rsid w:val="00F15069"/>
    <w:rsid w:val="00F16F1B"/>
    <w:rsid w:val="00F1713C"/>
    <w:rsid w:val="00F17629"/>
    <w:rsid w:val="00F250A9"/>
    <w:rsid w:val="00F267AF"/>
    <w:rsid w:val="00F27B5D"/>
    <w:rsid w:val="00F30919"/>
    <w:rsid w:val="00F30FF4"/>
    <w:rsid w:val="00F3122E"/>
    <w:rsid w:val="00F31301"/>
    <w:rsid w:val="00F3147F"/>
    <w:rsid w:val="00F31D6C"/>
    <w:rsid w:val="00F31DFA"/>
    <w:rsid w:val="00F32368"/>
    <w:rsid w:val="00F32464"/>
    <w:rsid w:val="00F331AD"/>
    <w:rsid w:val="00F35287"/>
    <w:rsid w:val="00F3655C"/>
    <w:rsid w:val="00F36A5A"/>
    <w:rsid w:val="00F3762F"/>
    <w:rsid w:val="00F37796"/>
    <w:rsid w:val="00F377FA"/>
    <w:rsid w:val="00F37C83"/>
    <w:rsid w:val="00F40A70"/>
    <w:rsid w:val="00F42B2C"/>
    <w:rsid w:val="00F42BF6"/>
    <w:rsid w:val="00F43A37"/>
    <w:rsid w:val="00F4641B"/>
    <w:rsid w:val="00F46EB8"/>
    <w:rsid w:val="00F50CD1"/>
    <w:rsid w:val="00F511E4"/>
    <w:rsid w:val="00F51744"/>
    <w:rsid w:val="00F51D33"/>
    <w:rsid w:val="00F52D09"/>
    <w:rsid w:val="00F52E08"/>
    <w:rsid w:val="00F53A66"/>
    <w:rsid w:val="00F53CC8"/>
    <w:rsid w:val="00F5462D"/>
    <w:rsid w:val="00F548E2"/>
    <w:rsid w:val="00F55B21"/>
    <w:rsid w:val="00F56EF6"/>
    <w:rsid w:val="00F577A3"/>
    <w:rsid w:val="00F57A87"/>
    <w:rsid w:val="00F57E87"/>
    <w:rsid w:val="00F60082"/>
    <w:rsid w:val="00F61553"/>
    <w:rsid w:val="00F61A9F"/>
    <w:rsid w:val="00F61B5F"/>
    <w:rsid w:val="00F635D8"/>
    <w:rsid w:val="00F64696"/>
    <w:rsid w:val="00F64AF5"/>
    <w:rsid w:val="00F65AA9"/>
    <w:rsid w:val="00F66DB5"/>
    <w:rsid w:val="00F675B6"/>
    <w:rsid w:val="00F6768F"/>
    <w:rsid w:val="00F71DC0"/>
    <w:rsid w:val="00F72C2C"/>
    <w:rsid w:val="00F741F2"/>
    <w:rsid w:val="00F7668D"/>
    <w:rsid w:val="00F76CAB"/>
    <w:rsid w:val="00F772C6"/>
    <w:rsid w:val="00F776AA"/>
    <w:rsid w:val="00F8074E"/>
    <w:rsid w:val="00F815B5"/>
    <w:rsid w:val="00F82AA1"/>
    <w:rsid w:val="00F85195"/>
    <w:rsid w:val="00F852B3"/>
    <w:rsid w:val="00F857D4"/>
    <w:rsid w:val="00F861F3"/>
    <w:rsid w:val="00F868E3"/>
    <w:rsid w:val="00F86A49"/>
    <w:rsid w:val="00F92E11"/>
    <w:rsid w:val="00F93543"/>
    <w:rsid w:val="00F938BA"/>
    <w:rsid w:val="00F94ED4"/>
    <w:rsid w:val="00F97689"/>
    <w:rsid w:val="00F97919"/>
    <w:rsid w:val="00FA111D"/>
    <w:rsid w:val="00FA191F"/>
    <w:rsid w:val="00FA2C46"/>
    <w:rsid w:val="00FA3029"/>
    <w:rsid w:val="00FA3525"/>
    <w:rsid w:val="00FA401D"/>
    <w:rsid w:val="00FA5A53"/>
    <w:rsid w:val="00FA5BD0"/>
    <w:rsid w:val="00FA6ABC"/>
    <w:rsid w:val="00FA73DA"/>
    <w:rsid w:val="00FB0B22"/>
    <w:rsid w:val="00FB1F6E"/>
    <w:rsid w:val="00FB2D1A"/>
    <w:rsid w:val="00FB4769"/>
    <w:rsid w:val="00FB4CDA"/>
    <w:rsid w:val="00FB6481"/>
    <w:rsid w:val="00FB683C"/>
    <w:rsid w:val="00FB6D36"/>
    <w:rsid w:val="00FB6D77"/>
    <w:rsid w:val="00FC0085"/>
    <w:rsid w:val="00FC0965"/>
    <w:rsid w:val="00FC0F81"/>
    <w:rsid w:val="00FC1549"/>
    <w:rsid w:val="00FC252F"/>
    <w:rsid w:val="00FC2548"/>
    <w:rsid w:val="00FC37D4"/>
    <w:rsid w:val="00FC395C"/>
    <w:rsid w:val="00FC56AC"/>
    <w:rsid w:val="00FC5E8E"/>
    <w:rsid w:val="00FC62DC"/>
    <w:rsid w:val="00FC62F7"/>
    <w:rsid w:val="00FC6C84"/>
    <w:rsid w:val="00FD25C0"/>
    <w:rsid w:val="00FD3766"/>
    <w:rsid w:val="00FD384D"/>
    <w:rsid w:val="00FD3D05"/>
    <w:rsid w:val="00FD3D82"/>
    <w:rsid w:val="00FD44AD"/>
    <w:rsid w:val="00FD47C4"/>
    <w:rsid w:val="00FD799A"/>
    <w:rsid w:val="00FD7DD8"/>
    <w:rsid w:val="00FD7E88"/>
    <w:rsid w:val="00FE117D"/>
    <w:rsid w:val="00FE19BD"/>
    <w:rsid w:val="00FE2DCF"/>
    <w:rsid w:val="00FE3138"/>
    <w:rsid w:val="00FE3FA7"/>
    <w:rsid w:val="00FE4081"/>
    <w:rsid w:val="00FE476F"/>
    <w:rsid w:val="00FF134A"/>
    <w:rsid w:val="00FF213A"/>
    <w:rsid w:val="00FF2A4E"/>
    <w:rsid w:val="00FF2FCE"/>
    <w:rsid w:val="00FF4A4A"/>
    <w:rsid w:val="00FF4F7D"/>
    <w:rsid w:val="00FF6D9D"/>
    <w:rsid w:val="00FF7620"/>
    <w:rsid w:val="00FF7DD5"/>
    <w:rsid w:val="0B519E3A"/>
    <w:rsid w:val="0B99952D"/>
    <w:rsid w:val="139AF359"/>
    <w:rsid w:val="168F37DA"/>
    <w:rsid w:val="1835C76D"/>
    <w:rsid w:val="1C5289FE"/>
    <w:rsid w:val="1F838E3D"/>
    <w:rsid w:val="20AD8514"/>
    <w:rsid w:val="218578EC"/>
    <w:rsid w:val="26F55346"/>
    <w:rsid w:val="2E6DAB08"/>
    <w:rsid w:val="2EEAB42D"/>
    <w:rsid w:val="3569762B"/>
    <w:rsid w:val="37CD2742"/>
    <w:rsid w:val="3CF4032E"/>
    <w:rsid w:val="3E84C6AA"/>
    <w:rsid w:val="3F2CC170"/>
    <w:rsid w:val="3FBAC90D"/>
    <w:rsid w:val="427A1C6A"/>
    <w:rsid w:val="50032F30"/>
    <w:rsid w:val="516ACE2F"/>
    <w:rsid w:val="548E3F1B"/>
    <w:rsid w:val="55EE78E5"/>
    <w:rsid w:val="59CC3DDC"/>
    <w:rsid w:val="59CD7478"/>
    <w:rsid w:val="5AC44626"/>
    <w:rsid w:val="5AF9B6EC"/>
    <w:rsid w:val="5B130145"/>
    <w:rsid w:val="5B7CF720"/>
    <w:rsid w:val="61F598FB"/>
    <w:rsid w:val="63ED1A09"/>
    <w:rsid w:val="69F28F97"/>
    <w:rsid w:val="6F58BD13"/>
    <w:rsid w:val="71734EF7"/>
    <w:rsid w:val="730AADE3"/>
    <w:rsid w:val="747D27EE"/>
    <w:rsid w:val="78DDD161"/>
    <w:rsid w:val="7A5C44B2"/>
    <w:rsid w:val="7EFDD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659081"/>
  <w15:docId w15:val="{2A2F4323-2AE8-43D1-9C5E-447ED7B6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6812ED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DC2DC7"/>
    <w:pPr>
      <w:keepNext/>
      <w:keepLines/>
      <w:spacing w:before="520" w:after="240" w:line="480" w:lineRule="atLeast"/>
      <w:outlineLvl w:val="0"/>
    </w:pPr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paragraph" w:styleId="Heading2">
    <w:name w:val="heading 2"/>
    <w:next w:val="Body"/>
    <w:link w:val="Heading2Char"/>
    <w:uiPriority w:val="1"/>
    <w:qFormat/>
    <w:rsid w:val="00DC2DC7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E04BBB"/>
    <w:pPr>
      <w:keepNext/>
      <w:keepLines/>
      <w:spacing w:before="360" w:after="120" w:line="34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ED7762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ED7762"/>
    <w:pPr>
      <w:keepNext/>
      <w:keepLines/>
      <w:spacing w:before="240" w:after="0"/>
      <w:outlineLvl w:val="4"/>
    </w:pPr>
    <w:rPr>
      <w:rFonts w:eastAsia="MS Mincho"/>
      <w:b/>
      <w:bCs/>
      <w:iCs/>
      <w:color w:val="201547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DC2DC7"/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1"/>
    <w:rsid w:val="00DC2DC7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E04BBB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ED7762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link w:val="HeaderChar"/>
    <w:uiPriority w:val="10"/>
    <w:rsid w:val="0008170F"/>
    <w:pPr>
      <w:spacing w:after="300"/>
    </w:pPr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C60411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0033F7"/>
    <w:pPr>
      <w:keepNext/>
      <w:keepLines/>
      <w:tabs>
        <w:tab w:val="right" w:leader="dot" w:pos="9299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ED7762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report">
    <w:name w:val="TOC heading report"/>
    <w:basedOn w:val="Heading1"/>
    <w:next w:val="Body"/>
    <w:link w:val="TOCheadingreportChar"/>
    <w:uiPriority w:val="4"/>
    <w:rsid w:val="00A71CE4"/>
    <w:pPr>
      <w:pageBreakBefore/>
      <w:spacing w:before="0"/>
      <w:outlineLvl w:val="9"/>
    </w:pPr>
  </w:style>
  <w:style w:type="character" w:customStyle="1" w:styleId="TOCheadingreportChar">
    <w:name w:val="TOC heading report Char"/>
    <w:link w:val="TOCheadingreport"/>
    <w:uiPriority w:val="4"/>
    <w:rsid w:val="00A71CE4"/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paragraph" w:styleId="TOC2">
    <w:name w:val="toc 2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0033F7"/>
    <w:pPr>
      <w:ind w:left="567"/>
    </w:pPr>
  </w:style>
  <w:style w:type="paragraph" w:styleId="TOC5">
    <w:name w:val="toc 5"/>
    <w:basedOn w:val="TOC4"/>
    <w:rsid w:val="000033F7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31F42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C60411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C60411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C60411"/>
    <w:pPr>
      <w:numPr>
        <w:numId w:val="9"/>
      </w:numPr>
    </w:pPr>
  </w:style>
  <w:style w:type="numbering" w:customStyle="1" w:styleId="ZZTablebullets">
    <w:name w:val="ZZ Table bullets"/>
    <w:basedOn w:val="NoList"/>
    <w:rsid w:val="00C60411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74F7A"/>
    <w:pPr>
      <w:spacing w:before="80" w:after="60"/>
    </w:pPr>
    <w:rPr>
      <w:rFonts w:ascii="Arial" w:hAnsi="Arial"/>
      <w:b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C60411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9A3490"/>
    <w:pPr>
      <w:spacing w:after="12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C60411"/>
    <w:pPr>
      <w:numPr>
        <w:numId w:val="7"/>
      </w:numPr>
    </w:pPr>
  </w:style>
  <w:style w:type="numbering" w:customStyle="1" w:styleId="ZZNumbersdigit">
    <w:name w:val="ZZ Numbers digit"/>
    <w:rsid w:val="00C6041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C60411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C60411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C60411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C6041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C60411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C60411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C60411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C6041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C60411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C60411"/>
    <w:pPr>
      <w:numPr>
        <w:numId w:val="20"/>
      </w:numPr>
    </w:pPr>
  </w:style>
  <w:style w:type="paragraph" w:customStyle="1" w:styleId="Quotebullet1">
    <w:name w:val="Quote bullet 1"/>
    <w:basedOn w:val="Quotetext"/>
    <w:rsid w:val="00C60411"/>
    <w:pPr>
      <w:numPr>
        <w:numId w:val="11"/>
      </w:numPr>
    </w:pPr>
  </w:style>
  <w:style w:type="paragraph" w:customStyle="1" w:styleId="Quotebullet2">
    <w:name w:val="Quote bullet 2"/>
    <w:basedOn w:val="Quotetext"/>
    <w:rsid w:val="00C60411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1C7128"/>
    <w:pPr>
      <w:spacing w:line="320" w:lineRule="atLeast"/>
    </w:pPr>
    <w:rPr>
      <w:color w:val="201547"/>
      <w:sz w:val="24"/>
    </w:rPr>
  </w:style>
  <w:style w:type="character" w:customStyle="1" w:styleId="HeaderChar">
    <w:name w:val="Header Char"/>
    <w:basedOn w:val="DefaultParagraphFont"/>
    <w:link w:val="Header"/>
    <w:uiPriority w:val="10"/>
    <w:rsid w:val="00CF230C"/>
    <w:rPr>
      <w:rFonts w:ascii="Arial" w:hAnsi="Arial" w:cs="Arial"/>
      <w:b/>
      <w:color w:val="201547"/>
      <w:sz w:val="18"/>
      <w:szCs w:val="18"/>
      <w:lang w:eastAsia="en-US"/>
    </w:rPr>
  </w:style>
  <w:style w:type="table" w:customStyle="1" w:styleId="HSRtable">
    <w:name w:val="HSR table"/>
    <w:basedOn w:val="TableNormal"/>
    <w:uiPriority w:val="99"/>
    <w:rsid w:val="00E74F7A"/>
    <w:tblPr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F2F2F2" w:themeFill="background1" w:themeFillShade="F2"/>
    </w:tcPr>
    <w:tblStylePr w:type="firstRow">
      <w:tblPr/>
      <w:tcPr>
        <w:tcBorders>
          <w:top w:val="single" w:sz="24" w:space="0" w:color="FFFFFF" w:themeColor="background1"/>
          <w:left w:val="nil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  <w:tl2br w:val="nil"/>
          <w:tr2bl w:val="nil"/>
        </w:tcBorders>
        <w:shd w:val="clear" w:color="auto" w:fill="201547"/>
      </w:tcPr>
    </w:tblStylePr>
    <w:tblStylePr w:type="firstCol">
      <w:tblPr/>
      <w:tcPr>
        <w:tcBorders>
          <w:top w:val="single" w:sz="24" w:space="0" w:color="FFFFFF" w:themeColor="background1"/>
          <w:left w:val="single" w:sz="24" w:space="0" w:color="0090DA"/>
          <w:bottom w:val="single" w:sz="24" w:space="0" w:color="FFFFFF" w:themeColor="background1"/>
          <w:right w:val="single" w:sz="24" w:space="0" w:color="FFFFFF" w:themeColor="background1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efaultParagraphFont"/>
    <w:rsid w:val="00275723"/>
  </w:style>
  <w:style w:type="character" w:styleId="Mention">
    <w:name w:val="Mention"/>
    <w:basedOn w:val="DefaultParagraphFont"/>
    <w:uiPriority w:val="99"/>
    <w:unhideWhenUsed/>
    <w:rsid w:val="001956F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ffh.vic.gov.au/human-services-regulator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hyperlink" Target="mailto:hsregulator@dffh.vic.gov.a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roviders.dffh.vic.gov.au/carer-register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9B475E39-61F8-4737-A19D-CEB4B0C63302}">
    <t:Anchor>
      <t:Comment id="648422619"/>
    </t:Anchor>
    <t:History>
      <t:Event id="{4B0F31AB-8BC1-4C56-AC1D-F0E4B5E9D6C8}" time="2022-08-16T08:24:25.045Z">
        <t:Attribution userId="S::anthony.j.kolmus@dffh.vic.gov.au::e7db49df-5955-4a3e-b84e-9a7b71185893" userProvider="AD" userName="Anthony J Kolmus (DFFH)"/>
        <t:Anchor>
          <t:Comment id="430683576"/>
        </t:Anchor>
        <t:Create/>
      </t:Event>
      <t:Event id="{9F588D32-B2DC-4B82-A865-F373C66DA1FC}" time="2022-08-16T08:24:25.045Z">
        <t:Attribution userId="S::anthony.j.kolmus@dffh.vic.gov.au::e7db49df-5955-4a3e-b84e-9a7b71185893" userProvider="AD" userName="Anthony J Kolmus (DFFH)"/>
        <t:Anchor>
          <t:Comment id="430683576"/>
        </t:Anchor>
        <t:Assign userId="S::richard.marks@dffh.vic.gov.au::06a7087a-df61-465b-9946-b6646069bcea" userProvider="AD" userName="Richard Marks (DFFH)"/>
      </t:Event>
      <t:Event id="{4440D643-B824-47DF-B866-F3F0A4B6C52D}" time="2022-08-16T08:24:25.045Z">
        <t:Attribution userId="S::anthony.j.kolmus@dffh.vic.gov.au::e7db49df-5955-4a3e-b84e-9a7b71185893" userProvider="AD" userName="Anthony J Kolmus (DFFH)"/>
        <t:Anchor>
          <t:Comment id="430683576"/>
        </t:Anchor>
        <t:SetTitle title="@Richard Marks (DFFH) Not sure the self-determination reference is accurate. My understanding is that self-determination relates to the Aboriginal community having increased or final say over their own lives and affairs. This will apply to some degree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SharedWithUsers xmlns="c520fbed-e792-47a6-88e7-e35740b06176">
      <UserInfo>
        <DisplayName>Anthony J Kolmus (DFFH)</DisplayName>
        <AccountId>92</AccountId>
        <AccountType/>
      </UserInfo>
      <UserInfo>
        <DisplayName>Sophie Caruso (DFFH)</DisplayName>
        <AccountId>268</AccountId>
        <AccountType/>
      </UserInfo>
      <UserInfo>
        <DisplayName>Dani Minerve (DFFH)</DisplayName>
        <AccountId>301</AccountId>
        <AccountType/>
      </UserInfo>
      <UserInfo>
        <DisplayName>Elaine Inniss (DFFH)</DisplayName>
        <AccountId>67</AccountId>
        <AccountType/>
      </UserInfo>
      <UserInfo>
        <DisplayName>Pavel Ananikyan (DFFH)</DisplayName>
        <AccountId>183</AccountId>
        <AccountType/>
      </UserInfo>
      <UserInfo>
        <DisplayName>Richard Marks (DFFH)</DisplayName>
        <AccountId>167</AccountId>
        <AccountType/>
      </UserInfo>
      <UserInfo>
        <DisplayName>Allison Will (DFFH)</DisplayName>
        <AccountId>491</AccountId>
        <AccountType/>
      </UserInfo>
    </SharedWithUsers>
    <Comment xmlns="5dc74ea8-e552-4672-9e93-7e886a7af213" xsi:nil="true"/>
    <lcf76f155ced4ddcb4097134ff3c332f xmlns="5dc74ea8-e552-4672-9e93-7e886a7af213">
      <Terms xmlns="http://schemas.microsoft.com/office/infopath/2007/PartnerControls"/>
    </lcf76f155ced4ddcb4097134ff3c332f>
    <Comments xmlns="5dc74ea8-e552-4672-9e93-7e886a7af2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394C74C2D4C4BBF09EB3DFA32E73A" ma:contentTypeVersion="19" ma:contentTypeDescription="Create a new document." ma:contentTypeScope="" ma:versionID="e084e033ceb0b21c94e8d284837ef989">
  <xsd:schema xmlns:xsd="http://www.w3.org/2001/XMLSchema" xmlns:xs="http://www.w3.org/2001/XMLSchema" xmlns:p="http://schemas.microsoft.com/office/2006/metadata/properties" xmlns:ns2="c520fbed-e792-47a6-88e7-e35740b06176" xmlns:ns3="5dc74ea8-e552-4672-9e93-7e886a7af213" xmlns:ns4="5ce0f2b5-5be5-4508-bce9-d7011ece0659" targetNamespace="http://schemas.microsoft.com/office/2006/metadata/properties" ma:root="true" ma:fieldsID="f13375f1ae20aab260b25c4a64f42ff5" ns2:_="" ns3:_="" ns4:_="">
    <xsd:import namespace="c520fbed-e792-47a6-88e7-e35740b06176"/>
    <xsd:import namespace="5dc74ea8-e552-4672-9e93-7e886a7af21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0fbed-e792-47a6-88e7-e35740b0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74ea8-e552-4672-9e93-7e886a7af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" ma:index="26" nillable="true" ma:displayName="Comment" ma:description="To qualify what the file represents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66e7c54-9cd5-453d-a891-f90760712345}" ma:internalName="TaxCatchAll" ma:showField="CatchAllData" ma:web="c520fbed-e792-47a6-88e7-e35740b06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c520fbed-e792-47a6-88e7-e35740b06176"/>
    <ds:schemaRef ds:uri="http://purl.org/dc/elements/1.1/"/>
    <ds:schemaRef ds:uri="http://schemas.microsoft.com/office/2006/metadata/properties"/>
    <ds:schemaRef ds:uri="http://schemas.microsoft.com/office/infopath/2007/PartnerControls"/>
    <ds:schemaRef ds:uri="5ce0f2b5-5be5-4508-bce9-d7011ece0659"/>
    <ds:schemaRef ds:uri="http://schemas.openxmlformats.org/package/2006/metadata/core-properties"/>
    <ds:schemaRef ds:uri="http://purl.org/dc/terms/"/>
    <ds:schemaRef ds:uri="5dc74ea8-e552-4672-9e93-7e886a7af21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EF1E65-C12C-479A-BEA0-A2E2991C9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0fbed-e792-47a6-88e7-e35740b06176"/>
    <ds:schemaRef ds:uri="5dc74ea8-e552-4672-9e93-7e886a7af21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</Pages>
  <Words>2667</Words>
  <Characters>16527</Characters>
  <Application>Microsoft Office Word</Application>
  <DocSecurity>2</DocSecurity>
  <Lines>317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Services Regulator annual regulatory plan</vt:lpstr>
    </vt:vector>
  </TitlesOfParts>
  <Manager/>
  <Company>Victoria State Government, Department of Families, Fairness and Housing</Company>
  <LinksUpToDate>false</LinksUpToDate>
  <CharactersWithSpaces>19001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Services Regulator annual regulatory plan</dc:title>
  <dc:subject>Human Services Regulator annual regulatory plan</dc:subject>
  <dc:creator>Human Services Regulator</dc:creator>
  <cp:keywords>HSR; annual plan; regulation; compliance; human services; measures</cp:keywords>
  <dc:description/>
  <cp:lastModifiedBy>Sally Pryor (DFFH)</cp:lastModifiedBy>
  <cp:revision>9</cp:revision>
  <cp:lastPrinted>2022-10-15T12:29:00Z</cp:lastPrinted>
  <dcterms:created xsi:type="dcterms:W3CDTF">2024-01-16T03:00:00Z</dcterms:created>
  <dcterms:modified xsi:type="dcterms:W3CDTF">2024-01-16T03:29:00Z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0x010100027394C74C2D4C4BBF09EB3DFA32E73A</vt:lpwstr>
  </property>
  <property fmtid="{D5CDD505-2E9C-101B-9397-08002B2CF9AE}" pid="4" name="version">
    <vt:lpwstr>v5 16032021 sbv1 17062021</vt:lpwstr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DocumentSetDescription">
    <vt:lpwstr/>
  </property>
  <property fmtid="{D5CDD505-2E9C-101B-9397-08002B2CF9AE}" pid="8" name="ArchivePath">
    <vt:lpwstr/>
  </property>
  <property fmtid="{D5CDD505-2E9C-101B-9397-08002B2CF9AE}" pid="9" name="_ExtendedDescription">
    <vt:lpwstr/>
  </property>
  <property fmtid="{D5CDD505-2E9C-101B-9397-08002B2CF9AE}" pid="10" name="ArchiveFlag">
    <vt:lpwstr/>
  </property>
  <property fmtid="{D5CDD505-2E9C-101B-9397-08002B2CF9AE}" pid="11" name="RequestTitle">
    <vt:lpwstr/>
  </property>
  <property fmtid="{D5CDD505-2E9C-101B-9397-08002B2CF9AE}" pid="12" name="ecm_ItemDeleteBlockHolders">
    <vt:lpwstr/>
  </property>
  <property fmtid="{D5CDD505-2E9C-101B-9397-08002B2CF9AE}" pid="13" name="ecm_RecordRestrictions">
    <vt:lpwstr/>
  </property>
  <property fmtid="{D5CDD505-2E9C-101B-9397-08002B2CF9AE}" pid="14" name="ecm_ItemLockHolders">
    <vt:lpwstr/>
  </property>
  <property fmtid="{D5CDD505-2E9C-101B-9397-08002B2CF9AE}" pid="15" name="ClassificationContentMarkingFooterShapeIds">
    <vt:lpwstr>e,f,10,11,12,13</vt:lpwstr>
  </property>
  <property fmtid="{D5CDD505-2E9C-101B-9397-08002B2CF9AE}" pid="16" name="ClassificationContentMarkingFooterFontProps">
    <vt:lpwstr>#000000,10,Arial Black</vt:lpwstr>
  </property>
  <property fmtid="{D5CDD505-2E9C-101B-9397-08002B2CF9AE}" pid="17" name="ClassificationContentMarkingFooterText">
    <vt:lpwstr>OFFICIAL</vt:lpwstr>
  </property>
  <property fmtid="{D5CDD505-2E9C-101B-9397-08002B2CF9AE}" pid="18" name="MSIP_Label_43e64453-338c-4f93-8a4d-0039a0a41f2a_Enabled">
    <vt:lpwstr>true</vt:lpwstr>
  </property>
  <property fmtid="{D5CDD505-2E9C-101B-9397-08002B2CF9AE}" pid="19" name="MSIP_Label_43e64453-338c-4f93-8a4d-0039a0a41f2a_SetDate">
    <vt:lpwstr>2024-01-16T03:03:53Z</vt:lpwstr>
  </property>
  <property fmtid="{D5CDD505-2E9C-101B-9397-08002B2CF9AE}" pid="20" name="MSIP_Label_43e64453-338c-4f93-8a4d-0039a0a41f2a_Method">
    <vt:lpwstr>Privileged</vt:lpwstr>
  </property>
  <property fmtid="{D5CDD505-2E9C-101B-9397-08002B2CF9AE}" pid="21" name="MSIP_Label_43e64453-338c-4f93-8a4d-0039a0a41f2a_Name">
    <vt:lpwstr>43e64453-338c-4f93-8a4d-0039a0a41f2a</vt:lpwstr>
  </property>
  <property fmtid="{D5CDD505-2E9C-101B-9397-08002B2CF9AE}" pid="22" name="MSIP_Label_43e64453-338c-4f93-8a4d-0039a0a41f2a_SiteId">
    <vt:lpwstr>c0e0601f-0fac-449c-9c88-a104c4eb9f28</vt:lpwstr>
  </property>
  <property fmtid="{D5CDD505-2E9C-101B-9397-08002B2CF9AE}" pid="23" name="MSIP_Label_43e64453-338c-4f93-8a4d-0039a0a41f2a_ActionId">
    <vt:lpwstr>9704b3a6-e27a-4c4c-92c1-0034148b95bb</vt:lpwstr>
  </property>
  <property fmtid="{D5CDD505-2E9C-101B-9397-08002B2CF9AE}" pid="24" name="MSIP_Label_43e64453-338c-4f93-8a4d-0039a0a41f2a_ContentBits">
    <vt:lpwstr>2</vt:lpwstr>
  </property>
  <property fmtid="{D5CDD505-2E9C-101B-9397-08002B2CF9AE}" pid="25" name="_MarkAsFinal">
    <vt:bool>true</vt:bool>
  </property>
</Properties>
</file>