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8AAD" w14:textId="77777777" w:rsidR="0074696E" w:rsidRPr="004C6EEE" w:rsidRDefault="00257C94" w:rsidP="00AD784C">
      <w:pPr>
        <w:pStyle w:val="Spacerparatopoffirstpage"/>
      </w:pPr>
      <w:r>
        <w:rPr>
          <w:lang w:eastAsia="zh-CN"/>
        </w:rPr>
        <w:drawing>
          <wp:anchor distT="0" distB="0" distL="114300" distR="114300" simplePos="0" relativeHeight="251658240" behindDoc="1" locked="1" layoutInCell="1" allowOverlap="1" wp14:anchorId="1A3A148B" wp14:editId="4132E9CB">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anchor>
        </w:drawing>
      </w:r>
    </w:p>
    <w:p w14:paraId="2C44DA9B"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0AC5E3EB" w14:textId="77777777" w:rsidTr="00076493">
        <w:trPr>
          <w:trHeight w:val="1418"/>
        </w:trPr>
        <w:tc>
          <w:tcPr>
            <w:tcW w:w="10201" w:type="dxa"/>
            <w:vAlign w:val="bottom"/>
          </w:tcPr>
          <w:p w14:paraId="688328EC" w14:textId="77777777" w:rsidR="00AD784C" w:rsidRPr="00161AA0" w:rsidRDefault="001F2DF9" w:rsidP="00582B20">
            <w:pPr>
              <w:pStyle w:val="Documenttitle"/>
            </w:pPr>
            <w:r>
              <w:t>提出投訴</w:t>
            </w:r>
          </w:p>
        </w:tc>
      </w:tr>
      <w:tr w:rsidR="000B2117" w14:paraId="029B1B44" w14:textId="77777777" w:rsidTr="00076493">
        <w:trPr>
          <w:trHeight w:val="1247"/>
        </w:trPr>
        <w:tc>
          <w:tcPr>
            <w:tcW w:w="10201" w:type="dxa"/>
          </w:tcPr>
          <w:p w14:paraId="64C55D59" w14:textId="77777777" w:rsidR="000B2117" w:rsidRPr="00A1389F" w:rsidRDefault="0049718F" w:rsidP="00582B20">
            <w:pPr>
              <w:pStyle w:val="Documentsubtitle"/>
            </w:pPr>
            <w:r>
              <w:t>Traditional Chinese</w:t>
            </w:r>
          </w:p>
        </w:tc>
      </w:tr>
      <w:tr w:rsidR="00CF4148" w14:paraId="0E71E0AE" w14:textId="77777777" w:rsidTr="00076493">
        <w:trPr>
          <w:trHeight w:val="284"/>
        </w:trPr>
        <w:tc>
          <w:tcPr>
            <w:tcW w:w="10201" w:type="dxa"/>
          </w:tcPr>
          <w:p w14:paraId="1371C3D1" w14:textId="77777777" w:rsidR="00CF4148" w:rsidRPr="00250DC4" w:rsidRDefault="00E06E0A" w:rsidP="00582B20">
            <w:pPr>
              <w:pStyle w:val="Bannermarking"/>
            </w:pPr>
            <w:r>
              <w:fldChar w:fldCharType="begin"/>
            </w:r>
            <w:r>
              <w:instrText>FILLIN  "Type the protective marking" \d OFFICIAL \o  \* MERGEFORMAT</w:instrText>
            </w:r>
            <w:r>
              <w:fldChar w:fldCharType="separate"/>
            </w:r>
            <w:r w:rsidR="00076493">
              <w:t>官方文件</w:t>
            </w:r>
            <w:r>
              <w:fldChar w:fldCharType="end"/>
            </w:r>
          </w:p>
        </w:tc>
      </w:tr>
    </w:tbl>
    <w:p w14:paraId="41C51CB9" w14:textId="77777777" w:rsidR="00A805F8" w:rsidRPr="00CA3AD6" w:rsidRDefault="00A805F8" w:rsidP="00A805F8">
      <w:pPr>
        <w:pStyle w:val="Heading1"/>
      </w:pPr>
      <w:r>
        <w:t>關於家庭、公平和住房部（Department of Families, Fairness and Housing）</w:t>
      </w:r>
    </w:p>
    <w:p w14:paraId="41EBB0CF" w14:textId="77777777" w:rsidR="00A805F8" w:rsidRDefault="00A805F8" w:rsidP="00A805F8">
      <w:pPr>
        <w:pStyle w:val="DHHSbody"/>
        <w:rPr>
          <w:spacing w:val="-2"/>
        </w:rPr>
      </w:pPr>
      <w:r>
        <w:t xml:space="preserve">家庭、公平和住房部（以下稱「本部」）負責制定並實施政策、計劃和服務，支持並提高所有維多利亞州居民的福祉。 </w:t>
      </w:r>
    </w:p>
    <w:p w14:paraId="09EAD99B" w14:textId="77777777" w:rsidR="00A805F8" w:rsidRPr="00CA3AD6" w:rsidRDefault="00A805F8" w:rsidP="00A805F8">
      <w:pPr>
        <w:pStyle w:val="Heading1"/>
      </w:pPr>
      <w:r>
        <w:t xml:space="preserve">您可以對哪些事項提出投訴？ </w:t>
      </w:r>
    </w:p>
    <w:p w14:paraId="11AAD213" w14:textId="77777777" w:rsidR="00A805F8" w:rsidRDefault="00A805F8" w:rsidP="00A805F8">
      <w:pPr>
        <w:pStyle w:val="DHHSbody"/>
      </w:pPr>
      <w:r>
        <w:t xml:space="preserve">本部希望確保我們的服務對需要及使用這些服務的人們是確實有用的。我們總可以做得更好，我們會聽取使用我們服務的用戶、他們的倡導者或代表所發表的意見。 </w:t>
      </w:r>
    </w:p>
    <w:p w14:paraId="6149D04F" w14:textId="77777777" w:rsidR="00A805F8" w:rsidRDefault="00A805F8" w:rsidP="00A805F8">
      <w:pPr>
        <w:pStyle w:val="DHHSbody"/>
      </w:pPr>
      <w:r>
        <w:t>請告知我們以下任何情況：</w:t>
      </w:r>
    </w:p>
    <w:p w14:paraId="67C94362" w14:textId="77777777" w:rsidR="00A805F8" w:rsidRDefault="00A805F8" w:rsidP="00A805F8">
      <w:pPr>
        <w:pStyle w:val="DHHSbullet1"/>
        <w:numPr>
          <w:ilvl w:val="0"/>
          <w:numId w:val="7"/>
        </w:numPr>
      </w:pPr>
      <w:r>
        <w:t>您未獲得滿意的服務</w:t>
      </w:r>
    </w:p>
    <w:p w14:paraId="2F2AFAE4" w14:textId="77777777" w:rsidR="00A805F8" w:rsidRDefault="00A805F8" w:rsidP="00A805F8">
      <w:pPr>
        <w:pStyle w:val="DHHSbullet1"/>
        <w:numPr>
          <w:ilvl w:val="0"/>
          <w:numId w:val="7"/>
        </w:numPr>
      </w:pPr>
      <w:r>
        <w:t>您未獲得足夠的資料或選擇</w:t>
      </w:r>
    </w:p>
    <w:p w14:paraId="1EE7D313" w14:textId="77777777" w:rsidR="00A805F8" w:rsidRPr="00076493" w:rsidRDefault="00A805F8" w:rsidP="00CA272F">
      <w:pPr>
        <w:pStyle w:val="Bullet1"/>
        <w:rPr>
          <w:sz w:val="20"/>
        </w:rPr>
      </w:pPr>
      <w:r>
        <w:rPr>
          <w:sz w:val="20"/>
        </w:rPr>
        <w:t>您被剝奪了尊重、尊嚴或隱私。</w:t>
      </w:r>
    </w:p>
    <w:p w14:paraId="3E993600" w14:textId="77777777" w:rsidR="00A805F8" w:rsidRPr="00CA3AD6" w:rsidRDefault="00A805F8" w:rsidP="00A805F8">
      <w:pPr>
        <w:pStyle w:val="Heading1"/>
      </w:pPr>
      <w:r>
        <w:t>如何提出投訴</w:t>
      </w:r>
    </w:p>
    <w:p w14:paraId="16B97D63" w14:textId="77777777" w:rsidR="00A805F8" w:rsidRDefault="00A805F8" w:rsidP="00A805F8">
      <w:pPr>
        <w:pStyle w:val="DHHSbody"/>
      </w:pPr>
      <w:r>
        <w:t>請遵循以下投訴解決程序：</w:t>
      </w:r>
    </w:p>
    <w:p w14:paraId="650BFB35" w14:textId="77777777" w:rsidR="00A805F8" w:rsidRDefault="00A805F8" w:rsidP="00A805F8">
      <w:pPr>
        <w:pStyle w:val="DHHSbody"/>
      </w:pPr>
      <w:r>
        <w:rPr>
          <w:b/>
        </w:rPr>
        <w:t>第1步</w:t>
      </w:r>
      <w:r>
        <w:t>。與您本地辦事處的職員或您的個案工作人員討論您的投訴。</w:t>
      </w:r>
    </w:p>
    <w:p w14:paraId="17B0FB98" w14:textId="77777777" w:rsidR="00A805F8" w:rsidRPr="001A7074" w:rsidRDefault="00A805F8" w:rsidP="00A805F8">
      <w:pPr>
        <w:pStyle w:val="DHHSbody"/>
      </w:pPr>
      <w:r>
        <w:rPr>
          <w:b/>
        </w:rPr>
        <w:t>第2步</w:t>
      </w:r>
      <w:r w:rsidRPr="001A7074">
        <w:t>。如果您已嘗試解決問題但未獲得滿意結果，可將投訴轉交給本地辦事處的高級經理處理。</w:t>
      </w:r>
    </w:p>
    <w:p w14:paraId="7BB0B9CD" w14:textId="77777777" w:rsidR="00A805F8" w:rsidRDefault="00A805F8" w:rsidP="00A805F8">
      <w:pPr>
        <w:pStyle w:val="DHHSbody"/>
      </w:pPr>
      <w:r>
        <w:rPr>
          <w:b/>
        </w:rPr>
        <w:t>第3步</w:t>
      </w:r>
      <w:r>
        <w:t>。如果您的投訴無法在第1步或第2步獲得解決，請聯絡本部的意見反饋團隊，該團隊將採取進一步措施來解決投訴。 （聯絡方式請參閱本資料說明單第2頁「如何聯絡家庭、公平和住房部」部份）。</w:t>
      </w:r>
    </w:p>
    <w:p w14:paraId="45D4E788" w14:textId="77777777" w:rsidR="00A805F8" w:rsidRDefault="00A805F8" w:rsidP="00A805F8">
      <w:pPr>
        <w:pStyle w:val="DHHSbody"/>
      </w:pPr>
      <w:r>
        <w:t>本部致力聽取您的意見並回應您的問題。</w:t>
      </w:r>
    </w:p>
    <w:p w14:paraId="13C32234" w14:textId="77777777" w:rsidR="00A805F8" w:rsidRDefault="00A805F8" w:rsidP="00A805F8">
      <w:pPr>
        <w:pStyle w:val="DHHSbody"/>
      </w:pPr>
      <w:r>
        <w:t>我們將用以下方式處理您的投訴：</w:t>
      </w:r>
    </w:p>
    <w:p w14:paraId="4003D78B" w14:textId="77777777" w:rsidR="00A805F8" w:rsidRDefault="00A805F8" w:rsidP="00A805F8">
      <w:pPr>
        <w:pStyle w:val="DHHSbullet1"/>
        <w:numPr>
          <w:ilvl w:val="0"/>
          <w:numId w:val="7"/>
        </w:numPr>
      </w:pPr>
      <w:r>
        <w:t xml:space="preserve">提供實用、準確且易懂的資訊 </w:t>
      </w:r>
    </w:p>
    <w:p w14:paraId="6E70C13E" w14:textId="77777777" w:rsidR="00A805F8" w:rsidRDefault="00A805F8" w:rsidP="00A805F8">
      <w:pPr>
        <w:pStyle w:val="DHHSbullet1"/>
        <w:numPr>
          <w:ilvl w:val="0"/>
          <w:numId w:val="7"/>
        </w:numPr>
      </w:pPr>
      <w:r>
        <w:t xml:space="preserve">在交流中保持禮貌和體貼 </w:t>
      </w:r>
    </w:p>
    <w:p w14:paraId="76B247E1" w14:textId="77777777" w:rsidR="00A805F8" w:rsidRDefault="00A805F8" w:rsidP="00A805F8">
      <w:pPr>
        <w:pStyle w:val="DHHSbullet1"/>
        <w:numPr>
          <w:ilvl w:val="0"/>
          <w:numId w:val="7"/>
        </w:numPr>
      </w:pPr>
      <w:r>
        <w:t>迅速轉介相關需求至適當人員</w:t>
      </w:r>
    </w:p>
    <w:p w14:paraId="307C735B" w14:textId="77777777" w:rsidR="00A805F8" w:rsidRDefault="00A805F8" w:rsidP="00A805F8">
      <w:pPr>
        <w:pStyle w:val="DHHSbullet1"/>
        <w:numPr>
          <w:ilvl w:val="0"/>
          <w:numId w:val="7"/>
        </w:numPr>
      </w:pPr>
      <w:r>
        <w:t>在合理的時間範圍內回應需求</w:t>
      </w:r>
    </w:p>
    <w:p w14:paraId="31624433" w14:textId="77777777" w:rsidR="00A805F8" w:rsidRPr="00076493" w:rsidRDefault="00A805F8" w:rsidP="004B5DF4">
      <w:pPr>
        <w:pStyle w:val="Bullet1"/>
        <w:rPr>
          <w:sz w:val="20"/>
        </w:rPr>
      </w:pPr>
      <w:r>
        <w:rPr>
          <w:sz w:val="20"/>
        </w:rPr>
        <w:t>告知您處理進度或延誤。</w:t>
      </w:r>
    </w:p>
    <w:p w14:paraId="21DF1FB6" w14:textId="77777777" w:rsidR="00A805F8" w:rsidRPr="00CA3AD6" w:rsidRDefault="00A805F8" w:rsidP="00A805F8">
      <w:pPr>
        <w:pStyle w:val="Heading1"/>
      </w:pPr>
      <w:r>
        <w:lastRenderedPageBreak/>
        <w:t>更多資訊</w:t>
      </w:r>
    </w:p>
    <w:p w14:paraId="07D05207" w14:textId="77777777" w:rsidR="00A805F8" w:rsidRPr="00F645DC" w:rsidRDefault="00A805F8" w:rsidP="00A805F8">
      <w:pPr>
        <w:pStyle w:val="Heading2"/>
      </w:pPr>
      <w:r>
        <w:t>需要協助嗎？</w:t>
      </w:r>
    </w:p>
    <w:p w14:paraId="5DE77FE7" w14:textId="77777777" w:rsidR="00A805F8" w:rsidRDefault="00A805F8" w:rsidP="00A805F8">
      <w:pPr>
        <w:pStyle w:val="DHHSbody"/>
      </w:pPr>
      <w:r>
        <w:t>本部可以安排一名口譯員幫助提供翻譯服務。您可以請別人代表您提出投訴。您必須事先授權，對方才能擔任您的代表。</w:t>
      </w:r>
    </w:p>
    <w:p w14:paraId="1522A4F3" w14:textId="77777777" w:rsidR="00A805F8" w:rsidRDefault="00A805F8" w:rsidP="00A805F8">
      <w:pPr>
        <w:pStyle w:val="DHHSbody"/>
      </w:pPr>
      <w:r>
        <w:t>提出投訴和尋求解決方案有時會涉及敏感事項。本部可以在整個投訴過程中提供幫助和支持。</w:t>
      </w:r>
    </w:p>
    <w:p w14:paraId="6D1EC48F" w14:textId="77777777" w:rsidR="00A805F8" w:rsidRPr="00F645DC" w:rsidRDefault="00A805F8" w:rsidP="00A805F8">
      <w:pPr>
        <w:pStyle w:val="Heading2"/>
      </w:pPr>
      <w:r>
        <w:t>投訴過程中收集的相關資料如何處理？</w:t>
      </w:r>
    </w:p>
    <w:p w14:paraId="50678A53" w14:textId="77777777" w:rsidR="00A805F8" w:rsidRDefault="00A805F8" w:rsidP="00A805F8">
      <w:pPr>
        <w:pStyle w:val="DHHSbody"/>
      </w:pPr>
      <w:r>
        <w:t>我們認可您的個人和健康資訊應當只為我們收集這些資訊的原有目的，或者您可以合理預期的相關目的來進行使用或披露。</w:t>
      </w:r>
    </w:p>
    <w:p w14:paraId="2F326D0B" w14:textId="77777777" w:rsidR="00A805F8" w:rsidRDefault="00A805F8" w:rsidP="00A805F8">
      <w:pPr>
        <w:pStyle w:val="DHHSbody"/>
      </w:pPr>
      <w:r>
        <w:t>投訴調查過程可能會涉及與本部內其他相關部門共享您的個人和健康資訊，從而取得解決方案。</w:t>
      </w:r>
    </w:p>
    <w:p w14:paraId="3C8DFF23" w14:textId="77777777" w:rsidR="00A805F8" w:rsidRDefault="00A805F8" w:rsidP="00A805F8">
      <w:pPr>
        <w:pStyle w:val="DHHSbody"/>
      </w:pPr>
      <w:r>
        <w:t>本部亦收集並使用一系列個人和健康資訊，用以實施、規劃、資助、控管、評估和改進我們的服務和職能，以及滿足法定要求。除非出於收集目的所必需，否則本部會從個人和健康資訊中刪除可識別個人的資料。</w:t>
      </w:r>
    </w:p>
    <w:p w14:paraId="2E81A7C6" w14:textId="77777777" w:rsidR="00A805F8" w:rsidRPr="00CB4D43" w:rsidRDefault="00A805F8" w:rsidP="00A805F8">
      <w:pPr>
        <w:pStyle w:val="Heading1"/>
      </w:pPr>
      <w:r>
        <w:t>本部的意見反饋團隊</w:t>
      </w:r>
    </w:p>
    <w:p w14:paraId="3F0E2A66" w14:textId="77777777" w:rsidR="00A805F8" w:rsidRDefault="00A805F8" w:rsidP="00A805F8">
      <w:pPr>
        <w:pStyle w:val="DHHSbody"/>
      </w:pPr>
      <w:r>
        <w:t>本部有職員負責接收和處理您的意見反饋和投訴。</w:t>
      </w:r>
    </w:p>
    <w:p w14:paraId="1D7D723C" w14:textId="77777777" w:rsidR="00C51E0F" w:rsidRPr="00CA3AD6" w:rsidRDefault="00C51E0F" w:rsidP="00C51E0F">
      <w:pPr>
        <w:pStyle w:val="Heading1"/>
      </w:pPr>
      <w:r>
        <w:t>如何聯絡家庭、公平和住房部</w:t>
      </w:r>
    </w:p>
    <w:p w14:paraId="70941FD7" w14:textId="77777777" w:rsidR="00C51E0F" w:rsidRDefault="00C51E0F" w:rsidP="00C51E0F">
      <w:pPr>
        <w:pStyle w:val="DHHSbody"/>
      </w:pPr>
      <w:r>
        <w:t>請透過以下聯絡方式，提出您的意見反饋和投訴：</w:t>
      </w:r>
    </w:p>
    <w:p w14:paraId="7D967636" w14:textId="77777777" w:rsidR="00C51E0F" w:rsidRDefault="00C51E0F" w:rsidP="00C51E0F">
      <w:pPr>
        <w:pStyle w:val="DHHSbody"/>
        <w:numPr>
          <w:ilvl w:val="0"/>
          <w:numId w:val="41"/>
        </w:numPr>
      </w:pPr>
      <w:r>
        <w:t>電話：1300 884 706（本地電話收費）</w:t>
      </w:r>
    </w:p>
    <w:p w14:paraId="1041E03E" w14:textId="022FFF5E" w:rsidR="00C51E0F" w:rsidRPr="00F645DC" w:rsidRDefault="00C51E0F" w:rsidP="00C51E0F">
      <w:pPr>
        <w:pStyle w:val="DHHSbody"/>
        <w:numPr>
          <w:ilvl w:val="1"/>
          <w:numId w:val="40"/>
        </w:numPr>
        <w:rPr>
          <w:rFonts w:cs="Arial"/>
        </w:rPr>
      </w:pPr>
      <w:r>
        <w:t>在</w:t>
      </w:r>
      <w:hyperlink r:id="rId12">
        <w:r>
          <w:rPr>
            <w:rStyle w:val="Hyperlink"/>
            <w:rFonts w:ascii="MS Gothic" w:eastAsia="MS Gothic" w:hAnsi="MS Gothic" w:cs="MS Gothic" w:hint="eastAsia"/>
          </w:rPr>
          <w:t>提出投訴（</w:t>
        </w:r>
        <w:r>
          <w:rPr>
            <w:rStyle w:val="Hyperlink"/>
          </w:rPr>
          <w:t>Making a Complaint</w:t>
        </w:r>
        <w:r>
          <w:rPr>
            <w:rStyle w:val="Hyperlink"/>
            <w:rFonts w:ascii="MS Gothic" w:eastAsia="MS Gothic" w:hAnsi="MS Gothic" w:cs="MS Gothic" w:hint="eastAsia"/>
          </w:rPr>
          <w:t>）頁面：</w:t>
        </w:r>
      </w:hyperlink>
      <w:r>
        <w:t>&lt;https://</w:t>
      </w:r>
      <w:r w:rsidR="001B16E8">
        <w:t>dffh</w:t>
      </w:r>
      <w:r>
        <w:t>.vic.gov.au/making-complaint&gt; 透過我們的電子投訴單提出投訴。</w:t>
      </w:r>
    </w:p>
    <w:p w14:paraId="4A447048" w14:textId="77777777" w:rsidR="00C51E0F" w:rsidRPr="00D6090B" w:rsidRDefault="00C51E0F" w:rsidP="00C51E0F">
      <w:pPr>
        <w:pStyle w:val="DHHSbody"/>
        <w:numPr>
          <w:ilvl w:val="1"/>
          <w:numId w:val="40"/>
        </w:numPr>
        <w:rPr>
          <w:rStyle w:val="Hyperlink"/>
          <w:color w:val="auto"/>
          <w:u w:val="none"/>
        </w:rPr>
      </w:pPr>
      <w:r w:rsidRPr="4CD93305">
        <w:rPr>
          <w:color w:val="222222"/>
        </w:rPr>
        <w:t>電郵發送您的投訴至：</w:t>
      </w:r>
      <w:hyperlink r:id="rId13" w:history="1">
        <w:r>
          <w:rPr>
            <w:rStyle w:val="Hyperlink"/>
          </w:rPr>
          <w:t>Feedback@</w:t>
        </w:r>
        <w:r w:rsidR="001B16E8">
          <w:rPr>
            <w:rStyle w:val="Hyperlink"/>
          </w:rPr>
          <w:t>dffh</w:t>
        </w:r>
        <w:r>
          <w:rPr>
            <w:rStyle w:val="Hyperlink"/>
          </w:rPr>
          <w:t>.vic.gov.au</w:t>
        </w:r>
      </w:hyperlink>
    </w:p>
    <w:p w14:paraId="3E94581E" w14:textId="77777777" w:rsidR="00C51E0F" w:rsidRPr="00D6090B" w:rsidRDefault="00C51E0F" w:rsidP="00C51E0F">
      <w:pPr>
        <w:pStyle w:val="ListParagraph"/>
        <w:numPr>
          <w:ilvl w:val="1"/>
          <w:numId w:val="40"/>
        </w:numPr>
        <w:rPr>
          <w:rFonts w:ascii="Arial" w:eastAsia="Arial" w:hAnsi="Arial" w:cs="Times New Roman"/>
          <w:sz w:val="20"/>
          <w:szCs w:val="20"/>
        </w:rPr>
      </w:pPr>
      <w:r>
        <w:rPr>
          <w:rFonts w:ascii="Arial" w:eastAsia="Arial" w:hAnsi="Arial"/>
          <w:sz w:val="20"/>
        </w:rPr>
        <w:t>郵寄您的投訴至：Complaints, GPO Box 4057, Melbourne, Victoria 3000。</w:t>
      </w:r>
    </w:p>
    <w:p w14:paraId="5C054832" w14:textId="77777777" w:rsidR="00C51E0F" w:rsidRPr="00F645DC" w:rsidRDefault="00C51E0F" w:rsidP="00C51E0F">
      <w:pPr>
        <w:pStyle w:val="DHHSbody"/>
      </w:pPr>
      <w:r>
        <w:t>更多詳情：</w:t>
      </w:r>
    </w:p>
    <w:p w14:paraId="51AF8313" w14:textId="4BD61A5F" w:rsidR="00C51E0F" w:rsidRDefault="00C51E0F" w:rsidP="00A805F8">
      <w:pPr>
        <w:pStyle w:val="DHHSbody"/>
      </w:pPr>
      <w:r>
        <w:t>欲知詳情，請瀏覽</w:t>
      </w:r>
      <w:hyperlink r:id="rId14" w:history="1">
        <w:r w:rsidR="001B16E8">
          <w:rPr>
            <w:rStyle w:val="Hyperlink"/>
            <w:rFonts w:ascii="SimSun" w:eastAsia="SimSun" w:hAnsi="SimSun" w:hint="eastAsia"/>
            <w:lang w:eastAsia="zh-CN"/>
          </w:rPr>
          <w:t>本</w:t>
        </w:r>
        <w:r>
          <w:rPr>
            <w:rStyle w:val="Hyperlink"/>
            <w:rFonts w:ascii="MS Gothic" w:eastAsia="MS Gothic" w:hAnsi="MS Gothic" w:cs="MS Gothic" w:hint="eastAsia"/>
          </w:rPr>
          <w:t>部提出投訴頁面（</w:t>
        </w:r>
        <w:r>
          <w:rPr>
            <w:rStyle w:val="Hyperlink"/>
          </w:rPr>
          <w:t xml:space="preserve">Department of </w:t>
        </w:r>
        <w:r w:rsidR="001B16E8" w:rsidRPr="001B16E8">
          <w:rPr>
            <w:rStyle w:val="Hyperlink"/>
            <w:rFonts w:hint="eastAsia"/>
          </w:rPr>
          <w:t xml:space="preserve">Families, </w:t>
        </w:r>
        <w:r w:rsidR="001B16E8">
          <w:rPr>
            <w:rStyle w:val="Hyperlink"/>
            <w:rFonts w:eastAsia="SimSun" w:hint="eastAsia"/>
            <w:lang w:eastAsia="zh-CN"/>
          </w:rPr>
          <w:t>F</w:t>
        </w:r>
        <w:r w:rsidR="001B16E8" w:rsidRPr="001B16E8">
          <w:rPr>
            <w:rStyle w:val="Hyperlink"/>
            <w:rFonts w:hint="eastAsia"/>
          </w:rPr>
          <w:t>airness and Housing</w:t>
        </w:r>
        <w:r>
          <w:rPr>
            <w:rStyle w:val="Hyperlink"/>
          </w:rPr>
          <w:t xml:space="preserve"> Making a complaint</w:t>
        </w:r>
        <w:r>
          <w:rPr>
            <w:rStyle w:val="Hyperlink"/>
            <w:rFonts w:ascii="MS Gothic" w:eastAsia="MS Gothic" w:hAnsi="MS Gothic" w:cs="MS Gothic" w:hint="eastAsia"/>
          </w:rPr>
          <w:t>）：</w:t>
        </w:r>
      </w:hyperlink>
      <w:r>
        <w:t>&lt;https://www.</w:t>
      </w:r>
      <w:r w:rsidR="001B16E8">
        <w:t>dffh</w:t>
      </w:r>
      <w:r>
        <w:t xml:space="preserve">.vic.gov.au/making-complaint&gt; </w:t>
      </w:r>
    </w:p>
    <w:p w14:paraId="554452BB" w14:textId="77777777" w:rsidR="00A805F8" w:rsidRPr="00CA3AD6" w:rsidRDefault="00A805F8" w:rsidP="00A805F8">
      <w:pPr>
        <w:pStyle w:val="Heading1"/>
      </w:pPr>
      <w:r>
        <w:t>其他可聯絡機構：</w:t>
      </w:r>
    </w:p>
    <w:p w14:paraId="3926C02D" w14:textId="77777777" w:rsidR="00A805F8" w:rsidRDefault="00A805F8" w:rsidP="00A805F8">
      <w:pPr>
        <w:pStyle w:val="DHHSbody"/>
      </w:pPr>
      <w:r>
        <w:t>您亦可向以下機構之一提出投訴：</w:t>
      </w:r>
    </w:p>
    <w:p w14:paraId="1EA75BEF" w14:textId="77777777" w:rsidR="00E75B27" w:rsidRPr="00CB4D43" w:rsidRDefault="00E75B27" w:rsidP="00E75B27">
      <w:pPr>
        <w:pStyle w:val="DHHSbody"/>
        <w:rPr>
          <w:b/>
          <w:bCs/>
          <w:sz w:val="32"/>
          <w:szCs w:val="32"/>
        </w:rPr>
      </w:pPr>
      <w:r>
        <w:rPr>
          <w:b/>
          <w:sz w:val="32"/>
        </w:rPr>
        <w:t>NDIS品質和保障委員會（NDIS Quality and Safeguards Commission）</w:t>
      </w:r>
    </w:p>
    <w:p w14:paraId="157EB4A5" w14:textId="77777777" w:rsidR="00E75B27" w:rsidRPr="00CB4D43" w:rsidRDefault="00E75B27" w:rsidP="00E75B27">
      <w:pPr>
        <w:pStyle w:val="Heading2"/>
        <w:rPr>
          <w:b w:val="0"/>
          <w:bCs/>
          <w:color w:val="auto"/>
          <w:sz w:val="20"/>
          <w:szCs w:val="20"/>
        </w:rPr>
      </w:pPr>
      <w:r>
        <w:rPr>
          <w:b w:val="0"/>
          <w:color w:val="auto"/>
          <w:sz w:val="20"/>
        </w:rPr>
        <w:t>NDIS品質和保障委員會可以幫助對其NDIS援助或服務的品質或安全有疑問的殘障人士。</w:t>
      </w:r>
    </w:p>
    <w:p w14:paraId="38E4E918" w14:textId="77777777" w:rsidR="00E75B27" w:rsidRPr="00CB4D43" w:rsidRDefault="00E75B27" w:rsidP="00E75B27">
      <w:pPr>
        <w:pStyle w:val="Body"/>
      </w:pPr>
      <w:r>
        <w:t>電話：1800 035 544</w:t>
      </w:r>
    </w:p>
    <w:p w14:paraId="40CF1EAD" w14:textId="77777777" w:rsidR="00E75B27" w:rsidRPr="00CB4D43" w:rsidRDefault="00E75B27" w:rsidP="00E75B27">
      <w:pPr>
        <w:pStyle w:val="Body"/>
      </w:pPr>
      <w:r>
        <w:t>電郵：</w:t>
      </w:r>
      <w:hyperlink r:id="rId15" w:history="1">
        <w:r>
          <w:rPr>
            <w:rStyle w:val="Hyperlink"/>
            <w:sz w:val="20"/>
          </w:rPr>
          <w:t>contactcentre@ndiscommission@gov.au</w:t>
        </w:r>
      </w:hyperlink>
    </w:p>
    <w:p w14:paraId="64D8AE55" w14:textId="77777777" w:rsidR="00E75B27" w:rsidRPr="00CB4D43" w:rsidRDefault="00E75B27" w:rsidP="00E75B27">
      <w:pPr>
        <w:pStyle w:val="Body"/>
      </w:pPr>
      <w:r>
        <w:t>NDIS品質和保障委員會網站：</w:t>
      </w:r>
      <w:hyperlink r:id="rId16" w:history="1">
        <w:r>
          <w:rPr>
            <w:rStyle w:val="Hyperlink"/>
            <w:sz w:val="20"/>
          </w:rPr>
          <w:t>www.ndiscommission.gov.au</w:t>
        </w:r>
      </w:hyperlink>
    </w:p>
    <w:p w14:paraId="67A4EAC3" w14:textId="77777777" w:rsidR="00A805F8" w:rsidRPr="00F645DC" w:rsidRDefault="00A805F8" w:rsidP="00A805F8">
      <w:pPr>
        <w:pStyle w:val="Heading2"/>
      </w:pPr>
      <w:r>
        <w:lastRenderedPageBreak/>
        <w:t>殘障服務專員（Disability Services Commissioner）</w:t>
      </w:r>
    </w:p>
    <w:p w14:paraId="3CCF2CA8" w14:textId="77777777" w:rsidR="00A805F8" w:rsidRDefault="00A805F8" w:rsidP="00A805F8">
      <w:pPr>
        <w:pStyle w:val="DHHSbody"/>
        <w:rPr>
          <w:color w:val="FF0000"/>
        </w:rPr>
      </w:pPr>
      <w:r>
        <w:t>殘障服務專員負責與殘障人士和殘障服務機構合作，解決有關非NDIS援助和服務的投訴。</w:t>
      </w:r>
    </w:p>
    <w:p w14:paraId="72F0FF7F" w14:textId="77777777" w:rsidR="00A805F8" w:rsidRPr="001A7074" w:rsidRDefault="00A805F8" w:rsidP="00A805F8">
      <w:pPr>
        <w:pStyle w:val="DHHSbody"/>
      </w:pPr>
      <w:r>
        <w:t>電話：1800 677 342（免費電話）</w:t>
      </w:r>
    </w:p>
    <w:p w14:paraId="22869C81" w14:textId="77777777" w:rsidR="00A805F8" w:rsidRPr="001A7074" w:rsidRDefault="00A805F8" w:rsidP="00A805F8">
      <w:pPr>
        <w:pStyle w:val="DHHSbody"/>
      </w:pPr>
      <w:r>
        <w:t>聽力或言語障礙人士的電傳打字機（TTY）服務：1300 726 563</w:t>
      </w:r>
    </w:p>
    <w:p w14:paraId="212ED3F6" w14:textId="77777777" w:rsidR="00A805F8" w:rsidRDefault="00E06E0A" w:rsidP="00A805F8">
      <w:pPr>
        <w:pStyle w:val="DHHSbody"/>
      </w:pPr>
      <w:hyperlink r:id="rId17" w:history="1">
        <w:r w:rsidR="00076493">
          <w:rPr>
            <w:rStyle w:val="Hyperlink"/>
          </w:rPr>
          <w:t>殘障服務專員網站</w:t>
        </w:r>
      </w:hyperlink>
      <w:r w:rsidR="00076493">
        <w:t>&lt;http://www.odsc.vic.gov.au/&gt;</w:t>
      </w:r>
    </w:p>
    <w:p w14:paraId="1C8648B4" w14:textId="77777777" w:rsidR="00A805F8" w:rsidRPr="00F645DC" w:rsidRDefault="00A805F8" w:rsidP="00A805F8">
      <w:pPr>
        <w:pStyle w:val="Heading2"/>
      </w:pPr>
      <w:r>
        <w:t>衛生投訴專員（Health Complaints Commissioner）</w:t>
      </w:r>
    </w:p>
    <w:p w14:paraId="669FEE0A" w14:textId="77777777" w:rsidR="00A805F8" w:rsidRDefault="00A805F8" w:rsidP="00A805F8">
      <w:pPr>
        <w:pStyle w:val="DHHSbody"/>
      </w:pPr>
      <w:r>
        <w:rPr>
          <w:spacing w:val="-1"/>
        </w:rPr>
        <w:t>衛生投訴專員負責受理並解決有關維多利亞州醫療保健和健康資訊處理的投訴。</w:t>
      </w:r>
    </w:p>
    <w:p w14:paraId="207BEEDE" w14:textId="77777777" w:rsidR="00A805F8" w:rsidRPr="001A7074" w:rsidRDefault="00A805F8" w:rsidP="00A805F8">
      <w:pPr>
        <w:pStyle w:val="DHHSbody"/>
      </w:pPr>
      <w:r>
        <w:t xml:space="preserve">電話：1300 582 113 </w:t>
      </w:r>
    </w:p>
    <w:p w14:paraId="4D879071" w14:textId="77777777" w:rsidR="00A805F8" w:rsidRDefault="00E06E0A" w:rsidP="00A805F8">
      <w:pPr>
        <w:pStyle w:val="DHHSbody"/>
      </w:pPr>
      <w:hyperlink r:id="rId18" w:history="1">
        <w:r w:rsidR="00076493">
          <w:rPr>
            <w:rStyle w:val="Hyperlink"/>
          </w:rPr>
          <w:t>衛生投訴專員網站</w:t>
        </w:r>
      </w:hyperlink>
      <w:r w:rsidR="00076493">
        <w:t>&lt;https://www.hcc.vic.gov.au/&gt;</w:t>
      </w:r>
    </w:p>
    <w:p w14:paraId="64BD1810" w14:textId="77777777" w:rsidR="00A805F8" w:rsidRPr="00F645DC" w:rsidRDefault="00A805F8" w:rsidP="00A805F8">
      <w:pPr>
        <w:pStyle w:val="Heading2"/>
      </w:pPr>
      <w:r>
        <w:t>精神衛生投訴專員（Mental Health Complaints Commissioner）</w:t>
      </w:r>
    </w:p>
    <w:p w14:paraId="455115EC" w14:textId="77777777" w:rsidR="00A805F8" w:rsidRDefault="00A805F8" w:rsidP="00A805F8">
      <w:pPr>
        <w:pStyle w:val="DHHSbody"/>
      </w:pPr>
      <w:r>
        <w:t>精神衛生投訴專員可以協助與維多利亞州公共精神衛生服務相關的投訴。</w:t>
      </w:r>
    </w:p>
    <w:p w14:paraId="52C2DF17" w14:textId="77777777" w:rsidR="00A805F8" w:rsidRPr="001A7074" w:rsidRDefault="00A805F8" w:rsidP="00A805F8">
      <w:pPr>
        <w:pStyle w:val="DHHSbody"/>
      </w:pPr>
      <w:r>
        <w:t>電話：1800 246 054</w:t>
      </w:r>
    </w:p>
    <w:p w14:paraId="18F565D3" w14:textId="77777777" w:rsidR="00A805F8" w:rsidRDefault="00E06E0A" w:rsidP="00A805F8">
      <w:pPr>
        <w:pStyle w:val="DHHSbody"/>
      </w:pPr>
      <w:hyperlink r:id="rId19" w:history="1">
        <w:r w:rsidR="00076493">
          <w:rPr>
            <w:rStyle w:val="Hyperlink"/>
          </w:rPr>
          <w:t>精神衛生投訴專員網站</w:t>
        </w:r>
      </w:hyperlink>
      <w:hyperlink r:id="rId20" w:history="1">
        <w:r w:rsidR="00076493">
          <w:rPr>
            <w:rStyle w:val="Hyperlink"/>
          </w:rPr>
          <w:t>http://www.mhcc.vic.gov.au/</w:t>
        </w:r>
      </w:hyperlink>
    </w:p>
    <w:p w14:paraId="19501BC8" w14:textId="77777777" w:rsidR="00A805F8" w:rsidRPr="00F645DC" w:rsidRDefault="00A805F8" w:rsidP="00A805F8">
      <w:pPr>
        <w:pStyle w:val="Heading2"/>
      </w:pPr>
      <w:r>
        <w:t>維多利亞州申訴專員（Victorian Ombudsman）</w:t>
      </w:r>
    </w:p>
    <w:p w14:paraId="3146901D" w14:textId="77777777" w:rsidR="00A805F8" w:rsidRDefault="00A805F8" w:rsidP="00A805F8">
      <w:pPr>
        <w:pStyle w:val="DHHSbody"/>
      </w:pPr>
      <w:r>
        <w:t>維多利亞州申訴專員有權調查對州政府和地方政府機構的投訴。維多利亞州申訴專員負責調查有關這些機構的裁決、作為或不作為的投訴。</w:t>
      </w:r>
    </w:p>
    <w:p w14:paraId="7B1374CF" w14:textId="77777777" w:rsidR="00A805F8" w:rsidRPr="001A7074" w:rsidRDefault="00A805F8" w:rsidP="00A805F8">
      <w:pPr>
        <w:pStyle w:val="DHHSbody"/>
      </w:pPr>
      <w:r>
        <w:t>電話：9613 6222，邊遠地區：1800 806 314</w:t>
      </w:r>
    </w:p>
    <w:p w14:paraId="347525F5" w14:textId="77777777" w:rsidR="00A805F8" w:rsidRDefault="00E06E0A" w:rsidP="00A805F8">
      <w:pPr>
        <w:pStyle w:val="DHHSbody"/>
      </w:pPr>
      <w:hyperlink r:id="rId21" w:history="1">
        <w:r w:rsidR="00076493">
          <w:rPr>
            <w:rStyle w:val="Hyperlink"/>
          </w:rPr>
          <w:t>維多利亞州申訴專員網站</w:t>
        </w:r>
      </w:hyperlink>
      <w:r w:rsidR="00076493">
        <w:t>&lt;https://www.ombudsman.vic.gov.au/&gt;</w:t>
      </w:r>
    </w:p>
    <w:p w14:paraId="0D3DEC1E" w14:textId="77777777" w:rsidR="00A805F8" w:rsidRPr="00F645DC" w:rsidRDefault="00A805F8" w:rsidP="00A805F8">
      <w:pPr>
        <w:pStyle w:val="Heading2"/>
      </w:pPr>
      <w:r>
        <w:t>維多利亞州資訊專員辦公室（Office of the Victorian Information Commissioner）</w:t>
      </w:r>
    </w:p>
    <w:p w14:paraId="1B97F2A6" w14:textId="77777777" w:rsidR="00A805F8" w:rsidRDefault="00A805F8" w:rsidP="00A805F8">
      <w:pPr>
        <w:pStyle w:val="DHHSbody"/>
      </w:pPr>
      <w:r>
        <w:t>維多利亞州資訊專員辦公室負責調查有關維多利亞州政府機構或地方市政府沒有遵守一項或多項《資訊隱私準則》的投訴。</w:t>
      </w:r>
    </w:p>
    <w:p w14:paraId="2F44832D" w14:textId="77777777" w:rsidR="00A805F8" w:rsidRPr="001A7074" w:rsidRDefault="00A805F8" w:rsidP="00A805F8">
      <w:pPr>
        <w:pStyle w:val="DHHSbody"/>
      </w:pPr>
      <w:r>
        <w:t>電話：1300 006 842</w:t>
      </w:r>
    </w:p>
    <w:p w14:paraId="477DBF08" w14:textId="715580CB" w:rsidR="00A805F8" w:rsidRDefault="00E06E0A" w:rsidP="00E06E0A">
      <w:pPr>
        <w:pStyle w:val="DHHSbody"/>
      </w:pPr>
      <w:hyperlink r:id="rId22" w:history="1">
        <w:r w:rsidR="00076493">
          <w:rPr>
            <w:rStyle w:val="Hyperlink"/>
          </w:rPr>
          <w:t>維多利亞州資訊專員辦公室網站</w:t>
        </w:r>
      </w:hyperlink>
      <w:hyperlink r:id="rId23" w:history="1">
        <w:r w:rsidRPr="00375EBA">
          <w:rPr>
            <w:rStyle w:val="Hyperlink"/>
          </w:rPr>
          <w:t>https://www.ovic.vic.gov.au/</w:t>
        </w:r>
      </w:hyperlink>
      <w:bookmarkStart w:id="0" w:name="_How_to_contact"/>
      <w:bookmarkEnd w:id="0"/>
    </w:p>
    <w:p w14:paraId="1C8DAAFD" w14:textId="77777777" w:rsidR="00E06E0A" w:rsidRPr="00E06E0A" w:rsidRDefault="00E06E0A" w:rsidP="00E06E0A">
      <w:pPr>
        <w:pStyle w:val="DHHSbody"/>
        <w:rPr>
          <w:rStyle w:val="Hyperlink"/>
          <w:color w:val="auto"/>
          <w:u w:val="none"/>
        </w:rPr>
      </w:pPr>
    </w:p>
    <w:tbl>
      <w:tblPr>
        <w:tblW w:w="4800" w:type="pct"/>
        <w:tblInd w:w="113" w:type="dxa"/>
        <w:tblCellMar>
          <w:top w:w="113" w:type="dxa"/>
          <w:bottom w:w="57" w:type="dxa"/>
        </w:tblCellMar>
        <w:tblLook w:val="00A0" w:firstRow="1" w:lastRow="0" w:firstColumn="1" w:lastColumn="0" w:noHBand="0" w:noVBand="0"/>
      </w:tblPr>
      <w:tblGrid>
        <w:gridCol w:w="10003"/>
      </w:tblGrid>
      <w:tr w:rsidR="00A805F8" w:rsidRPr="002802E3" w14:paraId="095E6BC3" w14:textId="77777777" w:rsidTr="00E06E0A">
        <w:trPr>
          <w:cantSplit/>
          <w:trHeight w:val="3115"/>
        </w:trPr>
        <w:tc>
          <w:tcPr>
            <w:tcW w:w="5000" w:type="pct"/>
            <w:tcBorders>
              <w:top w:val="single" w:sz="4" w:space="0" w:color="auto"/>
              <w:left w:val="single" w:sz="4" w:space="0" w:color="auto"/>
              <w:bottom w:val="single" w:sz="4" w:space="0" w:color="auto"/>
              <w:right w:val="single" w:sz="4" w:space="0" w:color="auto"/>
            </w:tcBorders>
            <w:vAlign w:val="bottom"/>
          </w:tcPr>
          <w:p w14:paraId="3E167F2E" w14:textId="312C1199" w:rsidR="00A805F8" w:rsidRPr="00254F58" w:rsidRDefault="00A805F8" w:rsidP="00892217">
            <w:pPr>
              <w:pStyle w:val="DHHSaccessibilitypara"/>
            </w:pPr>
            <w:r>
              <w:lastRenderedPageBreak/>
              <w:t>如果您希望索取本出版物的無障礙格式版本，可致電1300 884 706，撥打13 36 77使用全國中繼服務（National Relay Service），或</w:t>
            </w:r>
            <w:hyperlink r:id="rId24" w:history="1">
              <w:r w:rsidR="00E06E0A" w:rsidRPr="00375EBA">
                <w:rPr>
                  <w:rStyle w:val="Hyperlink"/>
                  <w:rFonts w:ascii="MS Gothic" w:eastAsia="MS Gothic" w:hAnsi="MS Gothic" w:cs="MS Gothic"/>
                </w:rPr>
                <w:t>發送電郵至投訴小組</w:t>
              </w:r>
              <w:r w:rsidR="00E06E0A" w:rsidRPr="00375EBA">
                <w:rPr>
                  <w:rStyle w:val="Hyperlink"/>
                </w:rPr>
                <w:t xml:space="preserve"> &lt;feedback@dffh.vic.gov.au&gt;</w:t>
              </w:r>
            </w:hyperlink>
            <w:r>
              <w:t>。</w:t>
            </w:r>
          </w:p>
          <w:p w14:paraId="0019E96C" w14:textId="77777777" w:rsidR="00A805F8" w:rsidRPr="00254F58" w:rsidRDefault="00A805F8" w:rsidP="00892217">
            <w:pPr>
              <w:pStyle w:val="DHHSbody"/>
            </w:pPr>
            <w:r>
              <w:t>維多利亞州政府（1 Treasury Place, Melbourne）授權及出版。</w:t>
            </w:r>
          </w:p>
          <w:p w14:paraId="7D1C8250" w14:textId="77777777" w:rsidR="00A805F8" w:rsidRPr="00254F58" w:rsidRDefault="00A805F8" w:rsidP="00892217">
            <w:pPr>
              <w:pStyle w:val="DHHSbody"/>
            </w:pPr>
            <w:r>
              <w:t>©2021年7月維多利亞州政府家庭、公平和住房部。</w:t>
            </w:r>
          </w:p>
          <w:p w14:paraId="49C02C1A" w14:textId="77777777" w:rsidR="00A805F8" w:rsidRDefault="00A805F8" w:rsidP="00892217">
            <w:pPr>
              <w:pStyle w:val="DHHSbody"/>
            </w:pPr>
            <w:r>
              <w:t>ISBN 978-1-76069-594-1 (pdf文件/在線文件/MS word文件)</w:t>
            </w:r>
          </w:p>
          <w:p w14:paraId="6C68BE6E" w14:textId="646A9E6F" w:rsidR="00A805F8" w:rsidRPr="002802E3" w:rsidRDefault="00A805F8" w:rsidP="00892217">
            <w:pPr>
              <w:pStyle w:val="DHHSbody"/>
            </w:pPr>
            <w:r>
              <w:t>本文可於</w:t>
            </w:r>
            <w:r w:rsidR="001B16E8" w:rsidRPr="001B16E8">
              <w:rPr>
                <w:rStyle w:val="Hyperlink"/>
                <w:rFonts w:hint="eastAsia"/>
              </w:rPr>
              <w:t>本</w:t>
            </w:r>
            <w:hyperlink r:id="rId25" w:history="1">
              <w:r w:rsidR="001B16E8" w:rsidRPr="003E10A9">
                <w:rPr>
                  <w:rStyle w:val="Hyperlink"/>
                  <w:rFonts w:ascii="MS Gothic" w:eastAsia="MS Gothic" w:hAnsi="MS Gothic" w:cs="MS Gothic" w:hint="eastAsia"/>
                </w:rPr>
                <w:t>部提出投訴頁面</w:t>
              </w:r>
            </w:hyperlink>
            <w:r>
              <w:t>&lt;http://www.</w:t>
            </w:r>
            <w:r w:rsidR="001B16E8">
              <w:t>dffh</w:t>
            </w:r>
            <w:r>
              <w:t>.vic.gov.au/making-complaint&gt;查閱。</w:t>
            </w:r>
          </w:p>
        </w:tc>
      </w:tr>
    </w:tbl>
    <w:p w14:paraId="0658DD9A" w14:textId="511F55D8" w:rsidR="00162CA9" w:rsidRDefault="00162CA9" w:rsidP="00E06E0A">
      <w:pPr>
        <w:pStyle w:val="TOCheadingfactsheet"/>
        <w:tabs>
          <w:tab w:val="left" w:pos="1332"/>
        </w:tabs>
      </w:pPr>
    </w:p>
    <w:sectPr w:rsidR="00162CA9" w:rsidSect="00E06E0A">
      <w:headerReference w:type="default" r:id="rId26"/>
      <w:type w:val="continuous"/>
      <w:pgSz w:w="11906" w:h="16838" w:code="9"/>
      <w:pgMar w:top="1418" w:right="851" w:bottom="851"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974D" w14:textId="77777777" w:rsidR="00755CB7" w:rsidRDefault="00755CB7">
      <w:r>
        <w:separator/>
      </w:r>
    </w:p>
    <w:p w14:paraId="3C18476E" w14:textId="77777777" w:rsidR="00755CB7" w:rsidRDefault="00755CB7"/>
  </w:endnote>
  <w:endnote w:type="continuationSeparator" w:id="0">
    <w:p w14:paraId="6214BF5A" w14:textId="77777777" w:rsidR="00755CB7" w:rsidRDefault="00755CB7">
      <w:r>
        <w:continuationSeparator/>
      </w:r>
    </w:p>
    <w:p w14:paraId="50FDD0C3" w14:textId="77777777" w:rsidR="00755CB7" w:rsidRDefault="00755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B2F0" w14:textId="560250F8" w:rsidR="00E261B3" w:rsidRPr="00F65AA9" w:rsidRDefault="00E06E0A" w:rsidP="00EF2C72">
    <w:pPr>
      <w:pStyle w:val="Footer"/>
    </w:pPr>
    <w:r>
      <w:rPr>
        <w:noProof/>
      </w:rPr>
      <w:pict w14:anchorId="49244930">
        <v:shapetype id="_x0000_t202" coordsize="21600,21600" o:spt="202" path="m,l,21600r21600,l21600,xe">
          <v:stroke joinstyle="miter"/>
          <v:path gradientshapeok="t" o:connecttype="rect"/>
        </v:shapetype>
        <v:shape id="MSIPCMc3054336811d08b680b9289e" o:spid="_x0000_s16386" type="#_x0000_t202" alt="{&quot;HashCode&quot;:904758361,&quot;Height&quot;:841.0,&quot;Width&quot;:595.0,&quot;Placement&quot;:&quot;Footer&quot;,&quot;Index&quot;:&quot;Primary&quot;,&quot;Section&quot;:1,&quot;Top&quot;:0.0,&quot;Left&quot;:0.0}" style="position:absolute;margin-left:0;margin-top:786.7pt;width:595.3pt;height:24.55pt;z-index:25165516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3E1365F" w14:textId="77777777" w:rsidR="00E261B3" w:rsidRPr="00B21F90" w:rsidRDefault="00E261B3" w:rsidP="00B21F90">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w:r>
    <w:r w:rsidR="00242378">
      <w:rPr>
        <w:noProof/>
        <w:lang w:eastAsia="zh-CN"/>
      </w:rPr>
      <w:drawing>
        <wp:anchor distT="0" distB="0" distL="114300" distR="114300" simplePos="0" relativeHeight="251663360" behindDoc="1" locked="1" layoutInCell="1" allowOverlap="1" wp14:anchorId="33F7F7A9" wp14:editId="4DAFE90C">
          <wp:simplePos x="0" y="0"/>
          <wp:positionH relativeFrom="page">
            <wp:posOffset>-2540</wp:posOffset>
          </wp:positionH>
          <wp:positionV relativeFrom="page">
            <wp:posOffset>9461500</wp:posOffset>
          </wp:positionV>
          <wp:extent cx="7559675" cy="1007745"/>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0660" w14:textId="77777777" w:rsidR="00E261B3" w:rsidRDefault="00E06E0A">
    <w:pPr>
      <w:pStyle w:val="Footer"/>
    </w:pPr>
    <w:r>
      <w:rPr>
        <w:noProof/>
      </w:rPr>
      <w:pict w14:anchorId="101884F7">
        <v:shapetype id="_x0000_t202" coordsize="21600,21600" o:spt="202" path="m,l,21600r21600,l21600,xe">
          <v:stroke joinstyle="miter"/>
          <v:path gradientshapeok="t" o:connecttype="rect"/>
        </v:shapetype>
        <v:shape id="MSIPCM418f4cbe97f099549309dca7" o:spid="_x0000_s16385"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0FE33DD" w14:textId="77777777" w:rsidR="00E261B3" w:rsidRPr="00B21F90" w:rsidRDefault="00E261B3" w:rsidP="00B21F90">
                <w:pPr>
                  <w:spacing w:after="0"/>
                  <w:jc w:val="center"/>
                  <w:rPr>
                    <w:rFonts w:ascii="Arial Black" w:eastAsia="Arial Black" w:hAnsi="Arial Black"/>
                    <w:color w:val="000000"/>
                    <w:sz w:val="20"/>
                  </w:rPr>
                </w:pPr>
                <w:r>
                  <w:rPr>
                    <w:rFonts w:ascii="Arial Black" w:eastAsia="Arial Black" w:hAnsi="Arial Black"/>
                    <w:color w:val="000000"/>
                    <w:sz w:val="20"/>
                  </w:rPr>
                  <w:t>官方文件</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28DE" w14:textId="77777777" w:rsidR="00755CB7" w:rsidRDefault="00755CB7" w:rsidP="00207717">
      <w:pPr>
        <w:spacing w:before="120"/>
      </w:pPr>
      <w:r>
        <w:separator/>
      </w:r>
    </w:p>
  </w:footnote>
  <w:footnote w:type="continuationSeparator" w:id="0">
    <w:p w14:paraId="6C8CD8D7" w14:textId="77777777" w:rsidR="00755CB7" w:rsidRDefault="00755CB7">
      <w:r>
        <w:continuationSeparator/>
      </w:r>
    </w:p>
    <w:p w14:paraId="7267AB49" w14:textId="77777777" w:rsidR="00755CB7" w:rsidRDefault="00755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988B"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A11E" w14:textId="77777777" w:rsidR="00E261B3" w:rsidRPr="0051568D" w:rsidRDefault="00257C94" w:rsidP="0017674D">
    <w:pPr>
      <w:pStyle w:val="Header"/>
    </w:pPr>
    <w:r>
      <w:rPr>
        <w:noProof/>
        <w:lang w:eastAsia="zh-CN"/>
      </w:rPr>
      <w:drawing>
        <wp:anchor distT="0" distB="0" distL="114300" distR="114300" simplePos="0" relativeHeight="251658752" behindDoc="1" locked="1" layoutInCell="1" allowOverlap="1" wp14:anchorId="17B1B8FF" wp14:editId="1812CA22">
          <wp:simplePos x="0" y="0"/>
          <wp:positionH relativeFrom="page">
            <wp:posOffset>0</wp:posOffset>
          </wp:positionH>
          <wp:positionV relativeFrom="page">
            <wp:posOffset>0</wp:posOffset>
          </wp:positionV>
          <wp:extent cx="7560000" cy="270000"/>
          <wp:effectExtent l="0" t="0" r="3175" b="0"/>
          <wp:wrapNone/>
          <wp:docPr id="933654275" name="Picture 933654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anchor>
      </w:drawing>
    </w:r>
    <w:r>
      <w:t>提出投訴 - 資料說明單</w:t>
    </w:r>
    <w:r w:rsidR="00B14B5F">
      <w:ptab w:relativeTo="margin" w:alignment="right" w:leader="none"/>
    </w:r>
    <w:r w:rsidR="00D21E5E" w:rsidRPr="00DE6C85">
      <w:rPr>
        <w:b/>
        <w:bCs/>
      </w:rPr>
      <w:fldChar w:fldCharType="begin"/>
    </w:r>
    <w:r w:rsidR="00B14B5F" w:rsidRPr="00DE6C85">
      <w:rPr>
        <w:b/>
        <w:bCs/>
      </w:rPr>
      <w:instrText xml:space="preserve"> PAGE </w:instrText>
    </w:r>
    <w:r w:rsidR="00D21E5E" w:rsidRPr="00DE6C85">
      <w:rPr>
        <w:b/>
        <w:bCs/>
      </w:rPr>
      <w:fldChar w:fldCharType="separate"/>
    </w:r>
    <w:r w:rsidR="001B16E8">
      <w:rPr>
        <w:b/>
        <w:bCs/>
        <w:noProof/>
      </w:rPr>
      <w:t>2</w:t>
    </w:r>
    <w:r w:rsidR="00D21E5E"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eastAsia="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eastAsia="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eastAsia="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eastAsia="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eastAsia="Symbol" w:hAnsi="Symbol" w:hint="default"/>
      </w:rPr>
    </w:lvl>
    <w:lvl w:ilvl="1" w:tplc="0C090003" w:tentative="1">
      <w:start w:val="1"/>
      <w:numFmt w:val="bullet"/>
      <w:lvlText w:val="o"/>
      <w:lvlJc w:val="left"/>
      <w:pPr>
        <w:ind w:left="1800" w:hanging="360"/>
      </w:pPr>
      <w:rPr>
        <w:rFonts w:ascii="Courier New" w:eastAsia="Courier New" w:hAnsi="Courier New" w:cs="Courier New" w:hint="default"/>
      </w:rPr>
    </w:lvl>
    <w:lvl w:ilvl="2" w:tplc="0C090005" w:tentative="1">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eastAsia="Calibri" w:hAnsi="Calibri" w:hint="default"/>
        <w:color w:val="auto"/>
      </w:rPr>
    </w:lvl>
    <w:lvl w:ilvl="3">
      <w:start w:val="1"/>
      <w:numFmt w:val="bullet"/>
      <w:lvlRestart w:val="0"/>
      <w:pStyle w:val="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eastAsia="Calibri" w:hAnsi="Calibri" w:hint="default"/>
      </w:rPr>
    </w:lvl>
    <w:lvl w:ilvl="1">
      <w:start w:val="1"/>
      <w:numFmt w:val="bullet"/>
      <w:lvlRestart w:val="0"/>
      <w:pStyle w:val="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eastAsia="Calibri" w:hAnsi="Calibri" w:hint="default"/>
      </w:rPr>
    </w:lvl>
    <w:lvl w:ilvl="1">
      <w:start w:val="1"/>
      <w:numFmt w:val="bullet"/>
      <w:lvlRestart w:val="0"/>
      <w:pStyle w:val="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eastAsia="Calibri" w:hAnsi="Calibri" w:hint="default"/>
        <w:color w:val="auto"/>
      </w:rPr>
    </w:lvl>
    <w:lvl w:ilvl="1">
      <w:start w:val="1"/>
      <w:numFmt w:val="bullet"/>
      <w:lvlRestart w:val="0"/>
      <w:pStyle w:val="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eastAsia="Symbol" w:hAnsi="Symbol" w:hint="default"/>
      </w:rPr>
    </w:lvl>
    <w:lvl w:ilvl="1" w:tplc="0C090003" w:tentative="1">
      <w:start w:val="1"/>
      <w:numFmt w:val="bullet"/>
      <w:lvlText w:val="o"/>
      <w:lvlJc w:val="left"/>
      <w:pPr>
        <w:ind w:left="2160" w:hanging="360"/>
      </w:pPr>
      <w:rPr>
        <w:rFonts w:ascii="Courier New" w:eastAsia="Courier New" w:hAnsi="Courier New" w:cs="Courier New" w:hint="default"/>
      </w:rPr>
    </w:lvl>
    <w:lvl w:ilvl="2" w:tplc="0C090005" w:tentative="1">
      <w:start w:val="1"/>
      <w:numFmt w:val="bullet"/>
      <w:lvlText w:val=""/>
      <w:lvlJc w:val="left"/>
      <w:pPr>
        <w:ind w:left="2880" w:hanging="360"/>
      </w:pPr>
      <w:rPr>
        <w:rFonts w:ascii="Wingdings" w:eastAsia="Wingdings" w:hAnsi="Wingdings" w:hint="default"/>
      </w:rPr>
    </w:lvl>
    <w:lvl w:ilvl="3" w:tplc="0C090001" w:tentative="1">
      <w:start w:val="1"/>
      <w:numFmt w:val="bullet"/>
      <w:lvlText w:val=""/>
      <w:lvlJc w:val="left"/>
      <w:pPr>
        <w:ind w:left="3600" w:hanging="360"/>
      </w:pPr>
      <w:rPr>
        <w:rFonts w:ascii="Symbol" w:eastAsia="Symbol" w:hAnsi="Symbol" w:hint="default"/>
      </w:rPr>
    </w:lvl>
    <w:lvl w:ilvl="4" w:tplc="0C090003" w:tentative="1">
      <w:start w:val="1"/>
      <w:numFmt w:val="bullet"/>
      <w:lvlText w:val="o"/>
      <w:lvlJc w:val="left"/>
      <w:pPr>
        <w:ind w:left="4320" w:hanging="360"/>
      </w:pPr>
      <w:rPr>
        <w:rFonts w:ascii="Courier New" w:eastAsia="Courier New" w:hAnsi="Courier New" w:cs="Courier New" w:hint="default"/>
      </w:rPr>
    </w:lvl>
    <w:lvl w:ilvl="5" w:tplc="0C090005" w:tentative="1">
      <w:start w:val="1"/>
      <w:numFmt w:val="bullet"/>
      <w:lvlText w:val=""/>
      <w:lvlJc w:val="left"/>
      <w:pPr>
        <w:ind w:left="5040" w:hanging="360"/>
      </w:pPr>
      <w:rPr>
        <w:rFonts w:ascii="Wingdings" w:eastAsia="Wingdings" w:hAnsi="Wingdings" w:hint="default"/>
      </w:rPr>
    </w:lvl>
    <w:lvl w:ilvl="6" w:tplc="0C090001" w:tentative="1">
      <w:start w:val="1"/>
      <w:numFmt w:val="bullet"/>
      <w:lvlText w:val=""/>
      <w:lvlJc w:val="left"/>
      <w:pPr>
        <w:ind w:left="5760" w:hanging="360"/>
      </w:pPr>
      <w:rPr>
        <w:rFonts w:ascii="Symbol" w:eastAsia="Symbol" w:hAnsi="Symbol" w:hint="default"/>
      </w:rPr>
    </w:lvl>
    <w:lvl w:ilvl="7" w:tplc="0C090003" w:tentative="1">
      <w:start w:val="1"/>
      <w:numFmt w:val="bullet"/>
      <w:lvlText w:val="o"/>
      <w:lvlJc w:val="left"/>
      <w:pPr>
        <w:ind w:left="6480" w:hanging="360"/>
      </w:pPr>
      <w:rPr>
        <w:rFonts w:ascii="Courier New" w:eastAsia="Courier New" w:hAnsi="Courier New" w:cs="Courier New" w:hint="default"/>
      </w:rPr>
    </w:lvl>
    <w:lvl w:ilvl="8" w:tplc="0C090005" w:tentative="1">
      <w:start w:val="1"/>
      <w:numFmt w:val="bullet"/>
      <w:lvlText w:val=""/>
      <w:lvlJc w:val="left"/>
      <w:pPr>
        <w:ind w:left="7200" w:hanging="360"/>
      </w:pPr>
      <w:rPr>
        <w:rFonts w:ascii="Wingdings" w:eastAsia="Wingdings" w:hAnsi="Wingdings" w:hint="default"/>
      </w:rPr>
    </w:lvl>
  </w:abstractNum>
  <w:num w:numId="1" w16cid:durableId="386338575">
    <w:abstractNumId w:val="10"/>
  </w:num>
  <w:num w:numId="2" w16cid:durableId="1873300851">
    <w:abstractNumId w:val="19"/>
  </w:num>
  <w:num w:numId="3" w16cid:durableId="614823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386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560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352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266525">
    <w:abstractNumId w:val="23"/>
  </w:num>
  <w:num w:numId="8" w16cid:durableId="1843886504">
    <w:abstractNumId w:val="18"/>
  </w:num>
  <w:num w:numId="9" w16cid:durableId="1086415102">
    <w:abstractNumId w:val="22"/>
  </w:num>
  <w:num w:numId="10" w16cid:durableId="1045908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3063103">
    <w:abstractNumId w:val="24"/>
  </w:num>
  <w:num w:numId="12" w16cid:durableId="1000426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1898758">
    <w:abstractNumId w:val="20"/>
  </w:num>
  <w:num w:numId="14" w16cid:durableId="622199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903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7646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1668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2730388">
    <w:abstractNumId w:val="26"/>
  </w:num>
  <w:num w:numId="19" w16cid:durableId="2138257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722251">
    <w:abstractNumId w:val="14"/>
  </w:num>
  <w:num w:numId="21" w16cid:durableId="2060592014">
    <w:abstractNumId w:val="12"/>
  </w:num>
  <w:num w:numId="22" w16cid:durableId="890313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7052286">
    <w:abstractNumId w:val="16"/>
  </w:num>
  <w:num w:numId="24" w16cid:durableId="297494342">
    <w:abstractNumId w:val="27"/>
  </w:num>
  <w:num w:numId="25" w16cid:durableId="1488594497">
    <w:abstractNumId w:val="25"/>
  </w:num>
  <w:num w:numId="26" w16cid:durableId="69616769">
    <w:abstractNumId w:val="21"/>
  </w:num>
  <w:num w:numId="27" w16cid:durableId="694697316">
    <w:abstractNumId w:val="11"/>
  </w:num>
  <w:num w:numId="28" w16cid:durableId="852842688">
    <w:abstractNumId w:val="28"/>
  </w:num>
  <w:num w:numId="29" w16cid:durableId="1908681320">
    <w:abstractNumId w:val="9"/>
  </w:num>
  <w:num w:numId="30" w16cid:durableId="332491147">
    <w:abstractNumId w:val="7"/>
  </w:num>
  <w:num w:numId="31" w16cid:durableId="302850775">
    <w:abstractNumId w:val="6"/>
  </w:num>
  <w:num w:numId="32" w16cid:durableId="142507186">
    <w:abstractNumId w:val="5"/>
  </w:num>
  <w:num w:numId="33" w16cid:durableId="602105733">
    <w:abstractNumId w:val="4"/>
  </w:num>
  <w:num w:numId="34" w16cid:durableId="587424002">
    <w:abstractNumId w:val="8"/>
  </w:num>
  <w:num w:numId="35" w16cid:durableId="888683067">
    <w:abstractNumId w:val="3"/>
  </w:num>
  <w:num w:numId="36" w16cid:durableId="1722559173">
    <w:abstractNumId w:val="2"/>
  </w:num>
  <w:num w:numId="37" w16cid:durableId="1142036448">
    <w:abstractNumId w:val="1"/>
  </w:num>
  <w:num w:numId="38" w16cid:durableId="1971131847">
    <w:abstractNumId w:val="0"/>
  </w:num>
  <w:num w:numId="39" w16cid:durableId="1949994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8960290">
    <w:abstractNumId w:val="17"/>
  </w:num>
  <w:num w:numId="41" w16cid:durableId="1704595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493"/>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77"/>
    <w:rsid w:val="000C42EA"/>
    <w:rsid w:val="000C4546"/>
    <w:rsid w:val="000D1242"/>
    <w:rsid w:val="000E0970"/>
    <w:rsid w:val="000E3CC7"/>
    <w:rsid w:val="000E6BD4"/>
    <w:rsid w:val="000E6D6D"/>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447B3"/>
    <w:rsid w:val="00152073"/>
    <w:rsid w:val="00156598"/>
    <w:rsid w:val="00161140"/>
    <w:rsid w:val="00161939"/>
    <w:rsid w:val="00161AA0"/>
    <w:rsid w:val="00161D2E"/>
    <w:rsid w:val="00161F3E"/>
    <w:rsid w:val="00162093"/>
    <w:rsid w:val="00162CA9"/>
    <w:rsid w:val="00165459"/>
    <w:rsid w:val="00165A57"/>
    <w:rsid w:val="001712C2"/>
    <w:rsid w:val="00172BAF"/>
    <w:rsid w:val="001752EB"/>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6E8"/>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90746"/>
    <w:rsid w:val="00490852"/>
    <w:rsid w:val="00491C9C"/>
    <w:rsid w:val="00492F30"/>
    <w:rsid w:val="004946F4"/>
    <w:rsid w:val="0049487E"/>
    <w:rsid w:val="0049718F"/>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5CB7"/>
    <w:rsid w:val="00763139"/>
    <w:rsid w:val="00770F37"/>
    <w:rsid w:val="007711A0"/>
    <w:rsid w:val="00772D5E"/>
    <w:rsid w:val="0077463E"/>
    <w:rsid w:val="00775512"/>
    <w:rsid w:val="00776928"/>
    <w:rsid w:val="00776E0F"/>
    <w:rsid w:val="007774B1"/>
    <w:rsid w:val="00777BE1"/>
    <w:rsid w:val="007833D8"/>
    <w:rsid w:val="00785677"/>
    <w:rsid w:val="00786F16"/>
    <w:rsid w:val="00791BD7"/>
    <w:rsid w:val="007933F7"/>
    <w:rsid w:val="00796E20"/>
    <w:rsid w:val="00797C32"/>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2846"/>
    <w:rsid w:val="008D4236"/>
    <w:rsid w:val="008D462F"/>
    <w:rsid w:val="008D4DA0"/>
    <w:rsid w:val="008D5C45"/>
    <w:rsid w:val="008D6DCF"/>
    <w:rsid w:val="008E4376"/>
    <w:rsid w:val="008E7A0A"/>
    <w:rsid w:val="008E7B49"/>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9C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236D"/>
    <w:rsid w:val="00A854EB"/>
    <w:rsid w:val="00A872E5"/>
    <w:rsid w:val="00A91406"/>
    <w:rsid w:val="00A924CF"/>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A10"/>
    <w:rsid w:val="00BC2C88"/>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A12E3"/>
    <w:rsid w:val="00CA1476"/>
    <w:rsid w:val="00CA272F"/>
    <w:rsid w:val="00CA6611"/>
    <w:rsid w:val="00CA6AE6"/>
    <w:rsid w:val="00CA782F"/>
    <w:rsid w:val="00CB187B"/>
    <w:rsid w:val="00CB2835"/>
    <w:rsid w:val="00CB3285"/>
    <w:rsid w:val="00CB4500"/>
    <w:rsid w:val="00CB4D4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1E5E"/>
    <w:rsid w:val="00D3185C"/>
    <w:rsid w:val="00D3205F"/>
    <w:rsid w:val="00D3318E"/>
    <w:rsid w:val="00D33E72"/>
    <w:rsid w:val="00D35BD6"/>
    <w:rsid w:val="00D361B5"/>
    <w:rsid w:val="00D40407"/>
    <w:rsid w:val="00D411A2"/>
    <w:rsid w:val="00D4606D"/>
    <w:rsid w:val="00D50B9C"/>
    <w:rsid w:val="00D52D73"/>
    <w:rsid w:val="00D52E58"/>
    <w:rsid w:val="00D56B20"/>
    <w:rsid w:val="00D578B3"/>
    <w:rsid w:val="00D6090B"/>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06E0A"/>
    <w:rsid w:val="00E11332"/>
    <w:rsid w:val="00E11352"/>
    <w:rsid w:val="00E170DC"/>
    <w:rsid w:val="00E17546"/>
    <w:rsid w:val="00E210B5"/>
    <w:rsid w:val="00E261B3"/>
    <w:rsid w:val="00E26818"/>
    <w:rsid w:val="00E27FFC"/>
    <w:rsid w:val="00E30B15"/>
    <w:rsid w:val="00E33237"/>
    <w:rsid w:val="00E36F77"/>
    <w:rsid w:val="00E40181"/>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52F"/>
    <w:rsid w:val="00FC395C"/>
    <w:rsid w:val="00FC5E8E"/>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9"/>
    <o:shapelayout v:ext="edit">
      <o:idmap v:ext="edit" data="1"/>
    </o:shapelayout>
  </w:shapeDefaults>
  <w:decimalSymbol w:val="."/>
  <w:listSeparator w:val=","/>
  <w14:docId w14:val="306E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EastAsia" w:hAnsiTheme="minorHAnsi" w:cstheme="minorBidi"/>
      <w:sz w:val="22"/>
      <w:szCs w:val="22"/>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Arial" w:hAnsi="Arial" w:cs="Arial"/>
      <w:bCs/>
      <w:color w:val="201547"/>
      <w:kern w:val="32"/>
      <w:sz w:val="40"/>
      <w:szCs w:val="40"/>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eastAsia="Arial" w:hAnsi="Arial"/>
      <w:b/>
      <w:color w:val="201547"/>
      <w:sz w:val="32"/>
      <w:szCs w:val="28"/>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Arial" w:hAnsi="Arial"/>
      <w:b/>
      <w:bCs/>
      <w:color w:val="201547"/>
      <w:sz w:val="27"/>
      <w:szCs w:val="26"/>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Arial" w:hAnsi="Arial"/>
      <w:b/>
      <w:bCs/>
      <w:color w:val="201547"/>
      <w:sz w:val="24"/>
      <w:szCs w:val="22"/>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Arial" w:hAnsi="Arial"/>
      <w:sz w:val="21"/>
    </w:rPr>
  </w:style>
  <w:style w:type="character" w:customStyle="1" w:styleId="Heading1Char">
    <w:name w:val="Heading 1 Char"/>
    <w:link w:val="Heading1"/>
    <w:uiPriority w:val="1"/>
    <w:rsid w:val="00B14B5F"/>
    <w:rPr>
      <w:rFonts w:ascii="Arial" w:eastAsia="Arial" w:hAnsi="Arial" w:cs="Arial"/>
      <w:bCs/>
      <w:color w:val="201547"/>
      <w:kern w:val="32"/>
      <w:sz w:val="40"/>
      <w:szCs w:val="40"/>
      <w:lang w:eastAsia="zh-TW"/>
    </w:rPr>
  </w:style>
  <w:style w:type="character" w:customStyle="1" w:styleId="Heading2Char">
    <w:name w:val="Heading 2 Char"/>
    <w:link w:val="Heading2"/>
    <w:uiPriority w:val="1"/>
    <w:rsid w:val="00B14B5F"/>
    <w:rPr>
      <w:rFonts w:ascii="Arial" w:eastAsia="Arial" w:hAnsi="Arial"/>
      <w:b/>
      <w:color w:val="201547"/>
      <w:sz w:val="32"/>
      <w:szCs w:val="28"/>
      <w:lang w:eastAsia="zh-TW"/>
    </w:rPr>
  </w:style>
  <w:style w:type="character" w:customStyle="1" w:styleId="Heading3Char">
    <w:name w:val="Heading 3 Char"/>
    <w:link w:val="Heading3"/>
    <w:uiPriority w:val="1"/>
    <w:rsid w:val="009E7A69"/>
    <w:rPr>
      <w:rFonts w:ascii="Arial" w:eastAsia="Arial" w:hAnsi="Arial"/>
      <w:b/>
      <w:bCs/>
      <w:color w:val="201547"/>
      <w:sz w:val="27"/>
      <w:szCs w:val="26"/>
      <w:lang w:eastAsia="zh-TW"/>
    </w:rPr>
  </w:style>
  <w:style w:type="character" w:customStyle="1" w:styleId="Heading4Char">
    <w:name w:val="Heading 4 Char"/>
    <w:link w:val="Heading4"/>
    <w:uiPriority w:val="1"/>
    <w:rsid w:val="009E7A69"/>
    <w:rPr>
      <w:rFonts w:ascii="Arial" w:eastAsia="Arial" w:hAnsi="Arial"/>
      <w:b/>
      <w:bCs/>
      <w:color w:val="201547"/>
      <w:sz w:val="24"/>
      <w:szCs w:val="22"/>
      <w:lang w:eastAsia="zh-TW"/>
    </w:rPr>
  </w:style>
  <w:style w:type="paragraph" w:styleId="Header">
    <w:name w:val="header"/>
    <w:uiPriority w:val="10"/>
    <w:rsid w:val="00A01191"/>
    <w:pPr>
      <w:spacing w:after="300"/>
    </w:pPr>
    <w:rPr>
      <w:rFonts w:ascii="Arial" w:eastAsia="Arial" w:hAnsi="Arial" w:cs="Arial"/>
      <w:color w:val="201547"/>
      <w:sz w:val="18"/>
      <w:szCs w:val="18"/>
    </w:rPr>
  </w:style>
  <w:style w:type="paragraph" w:styleId="Footer">
    <w:name w:val="footer"/>
    <w:uiPriority w:val="8"/>
    <w:rsid w:val="00EF2C72"/>
    <w:pPr>
      <w:spacing w:before="300"/>
    </w:pPr>
    <w:rPr>
      <w:rFonts w:ascii="Arial" w:eastAsia="Arial" w:hAnsi="Arial" w:cs="Arial"/>
      <w:szCs w:val="18"/>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TW"/>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Arial" w:hAnsi="Arial"/>
      <w:b/>
      <w:bCs/>
      <w:iCs/>
      <w:sz w:val="21"/>
      <w:szCs w:val="26"/>
      <w:lang w:eastAsia="zh-TW"/>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eastAsia="Arial" w:hAnsi="Arial"/>
      <w:b/>
      <w:color w:val="201547"/>
      <w:sz w:val="29"/>
      <w:szCs w:val="28"/>
      <w:lang w:eastAsia="zh-TW"/>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Tabletext">
    <w:name w:val="Table text"/>
    <w:uiPriority w:val="3"/>
    <w:qFormat/>
    <w:rsid w:val="004A4195"/>
    <w:pPr>
      <w:spacing w:before="80" w:after="60"/>
    </w:pPr>
    <w:rPr>
      <w:rFonts w:ascii="Arial" w:eastAsia="Arial" w:hAnsi="Arial"/>
      <w:sz w:val="21"/>
    </w:rPr>
  </w:style>
  <w:style w:type="paragraph" w:customStyle="1" w:styleId="Tablecaption">
    <w:name w:val="Table caption"/>
    <w:next w:val="Body"/>
    <w:uiPriority w:val="3"/>
    <w:qFormat/>
    <w:rsid w:val="00B04489"/>
    <w:pPr>
      <w:keepNext/>
      <w:keepLines/>
      <w:spacing w:before="240" w:after="120" w:line="250" w:lineRule="atLeast"/>
    </w:pPr>
    <w:rPr>
      <w:rFonts w:ascii="Arial" w:eastAsia="Arial" w:hAnsi="Arial"/>
      <w:b/>
      <w:sz w:val="21"/>
    </w:rPr>
  </w:style>
  <w:style w:type="paragraph" w:customStyle="1" w:styleId="Documenttitle">
    <w:name w:val="Document title"/>
    <w:uiPriority w:val="8"/>
    <w:rsid w:val="00CF4148"/>
    <w:pPr>
      <w:spacing w:after="80" w:line="460" w:lineRule="atLeast"/>
    </w:pPr>
    <w:rPr>
      <w:rFonts w:ascii="Arial" w:eastAsia="Arial" w:hAnsi="Arial"/>
      <w:b/>
      <w:color w:val="201547"/>
      <w:sz w:val="44"/>
      <w:szCs w:val="50"/>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Arial" w:hAnsi="Arial"/>
      <w:sz w:val="24"/>
      <w:szCs w:val="19"/>
    </w:rPr>
  </w:style>
  <w:style w:type="paragraph" w:customStyle="1" w:styleId="Figurecaption">
    <w:name w:val="Figure caption"/>
    <w:next w:val="Body"/>
    <w:rsid w:val="00B04489"/>
    <w:pPr>
      <w:keepNext/>
      <w:keepLines/>
      <w:spacing w:before="240" w:after="120" w:line="250" w:lineRule="atLeast"/>
    </w:pPr>
    <w:rPr>
      <w:rFonts w:ascii="Arial" w:eastAsia="Arial" w:hAnsi="Arial"/>
      <w:b/>
      <w:sz w:val="21"/>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TW"/>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eastAsia="Arial" w:hAnsi="Arial"/>
      <w:b/>
      <w:color w:val="201547"/>
      <w:sz w:val="21"/>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eastAsia="Arial" w:hAnsi="Arial"/>
      <w:color w:val="201547"/>
      <w:sz w:val="28"/>
      <w:szCs w:val="24"/>
    </w:rPr>
  </w:style>
  <w:style w:type="paragraph" w:styleId="FootnoteText">
    <w:name w:val="footnote text"/>
    <w:basedOn w:val="Normal"/>
    <w:link w:val="FootnoteTextChar"/>
    <w:uiPriority w:val="8"/>
    <w:rsid w:val="004A4195"/>
    <w:pPr>
      <w:spacing w:before="60" w:after="60" w:line="220" w:lineRule="atLeast"/>
    </w:pPr>
    <w:rPr>
      <w:rFonts w:cs="Arial"/>
      <w:sz w:val="18"/>
      <w:szCs w:val="16"/>
    </w:rPr>
  </w:style>
  <w:style w:type="character" w:customStyle="1" w:styleId="FootnoteTextChar">
    <w:name w:val="Footnote Text Char"/>
    <w:link w:val="FootnoteText"/>
    <w:uiPriority w:val="8"/>
    <w:rsid w:val="004A4195"/>
    <w:rPr>
      <w:rFonts w:ascii="Arial" w:eastAsia="Arial" w:hAnsi="Arial" w:cs="Arial"/>
      <w:sz w:val="18"/>
      <w:szCs w:val="16"/>
      <w:lang w:eastAsia="zh-TW"/>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TW"/>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eastAsia="Arial" w:hAnsi="Arial"/>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eastAsia="Cambria" w:hAnsi="Cambria"/>
      <w:lang w:eastAsia="zh-TW"/>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eastAsia="Cambria" w:hAnsi="Cambria"/>
    </w:rPr>
  </w:style>
  <w:style w:type="paragraph" w:styleId="BalloonText">
    <w:name w:val="Balloon Text"/>
    <w:basedOn w:val="Normal"/>
    <w:link w:val="BalloonTextChar"/>
    <w:uiPriority w:val="99"/>
    <w:semiHidden/>
    <w:unhideWhenUsed/>
    <w:rsid w:val="00982454"/>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eastAsia="Segoe UI" w:hAnsi="Segoe UI" w:cs="Segoe UI"/>
      <w:sz w:val="18"/>
      <w:szCs w:val="18"/>
      <w:lang w:eastAsia="zh-TW"/>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eastAsia="Cambria" w:hAnsi="Cambria"/>
      <w:b/>
      <w:bCs/>
      <w:lang w:eastAsia="zh-TW"/>
    </w:rPr>
  </w:style>
  <w:style w:type="character" w:customStyle="1" w:styleId="BodyChar">
    <w:name w:val="Body Char"/>
    <w:basedOn w:val="DefaultParagraphFont"/>
    <w:link w:val="Body"/>
    <w:rsid w:val="002365B4"/>
    <w:rPr>
      <w:rFonts w:ascii="Arial" w:eastAsia="Arial" w:hAnsi="Arial"/>
      <w:sz w:val="21"/>
      <w:lang w:eastAsia="zh-TW"/>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Arial" w:hAnsi="Arial"/>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eastAsia="Arial" w:hAnsi="Arial"/>
    </w:rPr>
  </w:style>
  <w:style w:type="paragraph" w:customStyle="1" w:styleId="DHHSaccessibilitypara">
    <w:name w:val="DHHS accessibility para"/>
    <w:uiPriority w:val="8"/>
    <w:rsid w:val="00A805F8"/>
    <w:pPr>
      <w:spacing w:after="200" w:line="300" w:lineRule="atLeast"/>
    </w:pPr>
    <w:rPr>
      <w:rFonts w:ascii="Arial" w:eastAsia="Arial" w:hAnsi="Arial"/>
      <w:sz w:val="24"/>
      <w:szCs w:val="19"/>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 w:type="character" w:styleId="UnresolvedMention">
    <w:name w:val="Unresolved Mention"/>
    <w:basedOn w:val="DefaultParagraphFont"/>
    <w:uiPriority w:val="99"/>
    <w:semiHidden/>
    <w:unhideWhenUsed/>
    <w:rsid w:val="00E0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hhs.vic.gov.au" TargetMode="External"/><Relationship Id="rId18" Type="http://schemas.openxmlformats.org/officeDocument/2006/relationships/hyperlink" Target="https://hcc.vic.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ombudsman.vic.gov.au/" TargetMode="External"/><Relationship Id="rId7" Type="http://schemas.openxmlformats.org/officeDocument/2006/relationships/endnotes" Target="endnotes.xml"/><Relationship Id="rId12" Type="http://schemas.openxmlformats.org/officeDocument/2006/relationships/hyperlink" Target="https://dffh.vic.gov.au/making-complaint" TargetMode="External"/><Relationship Id="rId17" Type="http://schemas.openxmlformats.org/officeDocument/2006/relationships/hyperlink" Target="http://www.odsc.vic.gov.au/" TargetMode="External"/><Relationship Id="rId25" Type="http://schemas.openxmlformats.org/officeDocument/2006/relationships/hyperlink" Target="http://www.dffh.vic.gov.au/making-complaint" TargetMode="External"/><Relationship Id="rId2" Type="http://schemas.openxmlformats.org/officeDocument/2006/relationships/numbering" Target="numbering.xml"/><Relationship Id="rId16" Type="http://schemas.openxmlformats.org/officeDocument/2006/relationships/hyperlink" Target="http://www.ndiscommission.gov.au" TargetMode="External"/><Relationship Id="rId20" Type="http://schemas.openxmlformats.org/officeDocument/2006/relationships/hyperlink" Target="http://www.mhc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30332;&#36865;&#38651;&#37109;&#33267;&#25237;&#35380;&#23567;&#32068;%20%3cfeedback@dffh.vic.gov.au%3e" TargetMode="External"/><Relationship Id="rId5" Type="http://schemas.openxmlformats.org/officeDocument/2006/relationships/webSettings" Target="webSettings.xml"/><Relationship Id="rId15" Type="http://schemas.openxmlformats.org/officeDocument/2006/relationships/hyperlink" Target="mailto:contactcentre@ndiscommission@gov.au" TargetMode="External"/><Relationship Id="rId23" Type="http://schemas.openxmlformats.org/officeDocument/2006/relationships/hyperlink" Target="https://www.ovic.vic.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fh.vic.gov.au/making-complaint" TargetMode="External"/><Relationship Id="rId22" Type="http://schemas.openxmlformats.org/officeDocument/2006/relationships/hyperlink" Target="https://www.ovic.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1F55-029A-4003-8DD4-B9C7BD65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2673</Characters>
  <Application>Microsoft Office Word</Application>
  <DocSecurity>0</DocSecurity>
  <Lines>56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2024-01-24T06:05:00Z</dcterms:created>
  <dcterms:modified xsi:type="dcterms:W3CDTF">2024-01-24T06:15:00Z</dcterms:modified>
</cp:coreProperties>
</file>