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8E88" w14:textId="77777777" w:rsidR="0074696E" w:rsidRPr="004C6EEE" w:rsidRDefault="00242378" w:rsidP="00367085">
      <w:pPr>
        <w:pStyle w:val="Spacerparatopoffirstpage"/>
      </w:pPr>
      <w:r>
        <w:drawing>
          <wp:anchor distT="0" distB="0" distL="114300" distR="114300" simplePos="0" relativeHeight="251658240" behindDoc="1" locked="1" layoutInCell="1" allowOverlap="1" wp14:anchorId="6576F2C8" wp14:editId="1F4CC9AF">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00EB9F2" w14:textId="77777777" w:rsidR="00A62D44" w:rsidRPr="004C6EEE" w:rsidRDefault="00A62D44" w:rsidP="004C6EEE">
      <w:pPr>
        <w:pStyle w:val="Sectionbreakfirstpage"/>
        <w:sectPr w:rsidR="00A62D44" w:rsidRPr="004C6EEE" w:rsidSect="00367085">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426" w:header="340" w:footer="851" w:gutter="0"/>
          <w:cols w:space="708"/>
          <w:docGrid w:linePitch="360"/>
        </w:sect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505"/>
      </w:tblGrid>
      <w:tr w:rsidR="00AD784C" w14:paraId="5368B657" w14:textId="77777777" w:rsidTr="00367085">
        <w:trPr>
          <w:trHeight w:val="1418"/>
        </w:trPr>
        <w:tc>
          <w:tcPr>
            <w:tcW w:w="8505" w:type="dxa"/>
            <w:vAlign w:val="bottom"/>
          </w:tcPr>
          <w:p w14:paraId="700037C7" w14:textId="1939454D" w:rsidR="00AD784C" w:rsidRPr="00161AA0" w:rsidRDefault="007A7FA0" w:rsidP="00367085">
            <w:pPr>
              <w:pStyle w:val="Documenttitle"/>
            </w:pPr>
            <w:r>
              <w:rPr>
                <w:sz w:val="40"/>
                <w:szCs w:val="48"/>
              </w:rPr>
              <w:t>D</w:t>
            </w:r>
            <w:r w:rsidR="00876C73" w:rsidRPr="00367085">
              <w:rPr>
                <w:sz w:val="40"/>
                <w:szCs w:val="48"/>
              </w:rPr>
              <w:t>isability Services</w:t>
            </w:r>
          </w:p>
        </w:tc>
      </w:tr>
      <w:tr w:rsidR="000B2117" w14:paraId="649D981D" w14:textId="77777777" w:rsidTr="00367085">
        <w:trPr>
          <w:trHeight w:val="1247"/>
        </w:trPr>
        <w:tc>
          <w:tcPr>
            <w:tcW w:w="8505" w:type="dxa"/>
          </w:tcPr>
          <w:p w14:paraId="73281AEB" w14:textId="3E8BA534" w:rsidR="000B2117" w:rsidRPr="00A1389F" w:rsidRDefault="00876C73" w:rsidP="00CF4148">
            <w:pPr>
              <w:pStyle w:val="Documentsubtitle"/>
            </w:pPr>
            <w:r>
              <w:t>Additional Service Delivery Data 2020-21</w:t>
            </w:r>
          </w:p>
        </w:tc>
      </w:tr>
      <w:tr w:rsidR="00CF4148" w14:paraId="416C9782" w14:textId="77777777" w:rsidTr="00367085">
        <w:trPr>
          <w:trHeight w:val="284"/>
        </w:trPr>
        <w:tc>
          <w:tcPr>
            <w:tcW w:w="8505" w:type="dxa"/>
          </w:tcPr>
          <w:p w14:paraId="0CE17C5C" w14:textId="0E4D9E33" w:rsidR="00CF4148" w:rsidRPr="00250DC4" w:rsidRDefault="00CF4148" w:rsidP="00CF4148">
            <w:pPr>
              <w:pStyle w:val="Bannermarking"/>
            </w:pPr>
          </w:p>
        </w:tc>
      </w:tr>
    </w:tbl>
    <w:p w14:paraId="7DFD3801" w14:textId="77777777" w:rsidR="00AD784C" w:rsidRPr="00B57329" w:rsidRDefault="00AD784C" w:rsidP="002365B4">
      <w:pPr>
        <w:pStyle w:val="TOCheadingfactsheet"/>
      </w:pPr>
      <w:r w:rsidRPr="00B57329">
        <w:t>Contents</w:t>
      </w:r>
    </w:p>
    <w:p w14:paraId="68CC7756" w14:textId="2352D5D3" w:rsidR="00D45904" w:rsidRPr="00843241" w:rsidRDefault="00AD784C">
      <w:pPr>
        <w:pStyle w:val="TOC1"/>
        <w:rPr>
          <w:rFonts w:asciiTheme="minorHAnsi" w:eastAsiaTheme="minorEastAsia" w:hAnsiTheme="minorHAnsi" w:cstheme="minorBidi"/>
          <w:b w:val="0"/>
          <w:sz w:val="20"/>
          <w:lang w:eastAsia="en-AU"/>
        </w:rPr>
      </w:pPr>
      <w:r w:rsidRPr="00843241">
        <w:rPr>
          <w:sz w:val="20"/>
          <w:szCs w:val="18"/>
        </w:rPr>
        <w:fldChar w:fldCharType="begin"/>
      </w:r>
      <w:r w:rsidRPr="00843241">
        <w:rPr>
          <w:sz w:val="20"/>
          <w:szCs w:val="18"/>
        </w:rPr>
        <w:instrText xml:space="preserve"> TOC \h \z \t "Heading 1,1,Heading 2,2" </w:instrText>
      </w:r>
      <w:r w:rsidRPr="00843241">
        <w:rPr>
          <w:sz w:val="20"/>
          <w:szCs w:val="18"/>
        </w:rPr>
        <w:fldChar w:fldCharType="separate"/>
      </w:r>
      <w:hyperlink w:anchor="_Toc82183229" w:history="1">
        <w:r w:rsidR="00D45904" w:rsidRPr="00843241">
          <w:rPr>
            <w:rStyle w:val="Hyperlink"/>
            <w:sz w:val="20"/>
            <w:szCs w:val="18"/>
          </w:rPr>
          <w:t>National Disability Insurance Scheme participants</w:t>
        </w:r>
        <w:r w:rsidR="00D45904" w:rsidRPr="00843241">
          <w:rPr>
            <w:webHidden/>
            <w:sz w:val="20"/>
            <w:szCs w:val="18"/>
          </w:rPr>
          <w:tab/>
        </w:r>
        <w:r w:rsidR="00D45904" w:rsidRPr="00843241">
          <w:rPr>
            <w:webHidden/>
            <w:sz w:val="20"/>
            <w:szCs w:val="18"/>
          </w:rPr>
          <w:fldChar w:fldCharType="begin"/>
        </w:r>
        <w:r w:rsidR="00D45904" w:rsidRPr="00843241">
          <w:rPr>
            <w:webHidden/>
            <w:sz w:val="20"/>
            <w:szCs w:val="18"/>
          </w:rPr>
          <w:instrText xml:space="preserve"> PAGEREF _Toc82183229 \h </w:instrText>
        </w:r>
        <w:r w:rsidR="00D45904" w:rsidRPr="00843241">
          <w:rPr>
            <w:webHidden/>
            <w:sz w:val="20"/>
            <w:szCs w:val="18"/>
          </w:rPr>
        </w:r>
        <w:r w:rsidR="00D45904" w:rsidRPr="00843241">
          <w:rPr>
            <w:webHidden/>
            <w:sz w:val="20"/>
            <w:szCs w:val="18"/>
          </w:rPr>
          <w:fldChar w:fldCharType="separate"/>
        </w:r>
        <w:r w:rsidR="00D45904" w:rsidRPr="00843241">
          <w:rPr>
            <w:webHidden/>
            <w:sz w:val="20"/>
            <w:szCs w:val="18"/>
          </w:rPr>
          <w:t>2</w:t>
        </w:r>
        <w:r w:rsidR="00D45904" w:rsidRPr="00843241">
          <w:rPr>
            <w:webHidden/>
            <w:sz w:val="20"/>
            <w:szCs w:val="18"/>
          </w:rPr>
          <w:fldChar w:fldCharType="end"/>
        </w:r>
      </w:hyperlink>
    </w:p>
    <w:p w14:paraId="070AFC48" w14:textId="0021321B" w:rsidR="00D45904" w:rsidRPr="00843241" w:rsidRDefault="0007476E">
      <w:pPr>
        <w:pStyle w:val="TOC1"/>
        <w:rPr>
          <w:rFonts w:asciiTheme="minorHAnsi" w:eastAsiaTheme="minorEastAsia" w:hAnsiTheme="minorHAnsi" w:cstheme="minorBidi"/>
          <w:b w:val="0"/>
          <w:sz w:val="20"/>
          <w:lang w:eastAsia="en-AU"/>
        </w:rPr>
      </w:pPr>
      <w:hyperlink w:anchor="_Toc82183230" w:history="1">
        <w:r w:rsidR="00D45904" w:rsidRPr="00843241">
          <w:rPr>
            <w:rStyle w:val="Hyperlink"/>
            <w:sz w:val="20"/>
            <w:szCs w:val="18"/>
          </w:rPr>
          <w:t>Forensic Disability Services</w:t>
        </w:r>
        <w:r w:rsidR="00D45904" w:rsidRPr="00843241">
          <w:rPr>
            <w:webHidden/>
            <w:sz w:val="20"/>
            <w:szCs w:val="18"/>
          </w:rPr>
          <w:tab/>
        </w:r>
        <w:r w:rsidR="00D45904" w:rsidRPr="00843241">
          <w:rPr>
            <w:webHidden/>
            <w:sz w:val="20"/>
            <w:szCs w:val="18"/>
          </w:rPr>
          <w:fldChar w:fldCharType="begin"/>
        </w:r>
        <w:r w:rsidR="00D45904" w:rsidRPr="00843241">
          <w:rPr>
            <w:webHidden/>
            <w:sz w:val="20"/>
            <w:szCs w:val="18"/>
          </w:rPr>
          <w:instrText xml:space="preserve"> PAGEREF _Toc82183230 \h </w:instrText>
        </w:r>
        <w:r w:rsidR="00D45904" w:rsidRPr="00843241">
          <w:rPr>
            <w:webHidden/>
            <w:sz w:val="20"/>
            <w:szCs w:val="18"/>
          </w:rPr>
        </w:r>
        <w:r w:rsidR="00D45904" w:rsidRPr="00843241">
          <w:rPr>
            <w:webHidden/>
            <w:sz w:val="20"/>
            <w:szCs w:val="18"/>
          </w:rPr>
          <w:fldChar w:fldCharType="separate"/>
        </w:r>
        <w:r w:rsidR="00D45904" w:rsidRPr="00843241">
          <w:rPr>
            <w:webHidden/>
            <w:sz w:val="20"/>
            <w:szCs w:val="18"/>
          </w:rPr>
          <w:t>2</w:t>
        </w:r>
        <w:r w:rsidR="00D45904" w:rsidRPr="00843241">
          <w:rPr>
            <w:webHidden/>
            <w:sz w:val="20"/>
            <w:szCs w:val="18"/>
          </w:rPr>
          <w:fldChar w:fldCharType="end"/>
        </w:r>
      </w:hyperlink>
    </w:p>
    <w:p w14:paraId="4B7D080F" w14:textId="46E465FF" w:rsidR="00D45904" w:rsidRPr="00843241" w:rsidRDefault="0007476E">
      <w:pPr>
        <w:pStyle w:val="TOC1"/>
        <w:rPr>
          <w:rFonts w:asciiTheme="minorHAnsi" w:eastAsiaTheme="minorEastAsia" w:hAnsiTheme="minorHAnsi" w:cstheme="minorBidi"/>
          <w:b w:val="0"/>
          <w:sz w:val="20"/>
          <w:lang w:eastAsia="en-AU"/>
        </w:rPr>
      </w:pPr>
      <w:hyperlink w:anchor="_Toc82183231" w:history="1">
        <w:r w:rsidR="00D45904" w:rsidRPr="00843241">
          <w:rPr>
            <w:rStyle w:val="Hyperlink"/>
            <w:sz w:val="20"/>
            <w:szCs w:val="18"/>
          </w:rPr>
          <w:t>Client incident reports</w:t>
        </w:r>
        <w:r w:rsidR="00D45904" w:rsidRPr="00843241">
          <w:rPr>
            <w:webHidden/>
            <w:sz w:val="20"/>
            <w:szCs w:val="18"/>
          </w:rPr>
          <w:tab/>
        </w:r>
        <w:r w:rsidR="00D45904" w:rsidRPr="00843241">
          <w:rPr>
            <w:webHidden/>
            <w:sz w:val="20"/>
            <w:szCs w:val="18"/>
          </w:rPr>
          <w:fldChar w:fldCharType="begin"/>
        </w:r>
        <w:r w:rsidR="00D45904" w:rsidRPr="00843241">
          <w:rPr>
            <w:webHidden/>
            <w:sz w:val="20"/>
            <w:szCs w:val="18"/>
          </w:rPr>
          <w:instrText xml:space="preserve"> PAGEREF _Toc82183231 \h </w:instrText>
        </w:r>
        <w:r w:rsidR="00D45904" w:rsidRPr="00843241">
          <w:rPr>
            <w:webHidden/>
            <w:sz w:val="20"/>
            <w:szCs w:val="18"/>
          </w:rPr>
        </w:r>
        <w:r w:rsidR="00D45904" w:rsidRPr="00843241">
          <w:rPr>
            <w:webHidden/>
            <w:sz w:val="20"/>
            <w:szCs w:val="18"/>
          </w:rPr>
          <w:fldChar w:fldCharType="separate"/>
        </w:r>
        <w:r w:rsidR="00D45904" w:rsidRPr="00843241">
          <w:rPr>
            <w:webHidden/>
            <w:sz w:val="20"/>
            <w:szCs w:val="18"/>
          </w:rPr>
          <w:t>3</w:t>
        </w:r>
        <w:r w:rsidR="00D45904" w:rsidRPr="00843241">
          <w:rPr>
            <w:webHidden/>
            <w:sz w:val="20"/>
            <w:szCs w:val="18"/>
          </w:rPr>
          <w:fldChar w:fldCharType="end"/>
        </w:r>
      </w:hyperlink>
    </w:p>
    <w:p w14:paraId="553A0EB7" w14:textId="16AB003E" w:rsidR="007173CA" w:rsidRPr="00843241" w:rsidRDefault="00AD784C" w:rsidP="00D079AA">
      <w:pPr>
        <w:pStyle w:val="Body"/>
        <w:rPr>
          <w:sz w:val="20"/>
          <w:szCs w:val="18"/>
        </w:rPr>
      </w:pPr>
      <w:r w:rsidRPr="00843241">
        <w:rPr>
          <w:sz w:val="20"/>
          <w:szCs w:val="18"/>
        </w:rPr>
        <w:fldChar w:fldCharType="end"/>
      </w:r>
    </w:p>
    <w:p w14:paraId="2F536A7B"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2E28CF05" w14:textId="219E8860" w:rsidR="00C25D70" w:rsidRDefault="00C25D70">
      <w:pPr>
        <w:spacing w:after="0" w:line="240" w:lineRule="auto"/>
        <w:rPr>
          <w:rFonts w:eastAsia="Times"/>
        </w:rPr>
      </w:pPr>
      <w:bookmarkStart w:id="0" w:name="_Hlk41913885"/>
      <w:r>
        <w:br w:type="page"/>
      </w:r>
    </w:p>
    <w:p w14:paraId="245A5783" w14:textId="77777777" w:rsidR="00145767" w:rsidRPr="001054E5" w:rsidRDefault="00145767" w:rsidP="00556ECA">
      <w:pPr>
        <w:pStyle w:val="Heading1"/>
        <w:rPr>
          <w:b/>
        </w:rPr>
      </w:pPr>
      <w:bookmarkStart w:id="1" w:name="_Toc522106478"/>
      <w:bookmarkStart w:id="2" w:name="_Toc523132384"/>
      <w:bookmarkStart w:id="3" w:name="_Toc82183229"/>
      <w:r w:rsidRPr="001054E5">
        <w:lastRenderedPageBreak/>
        <w:t>National Disability Insurance Scheme</w:t>
      </w:r>
      <w:bookmarkEnd w:id="1"/>
      <w:bookmarkEnd w:id="2"/>
      <w:r>
        <w:t xml:space="preserve"> participants</w:t>
      </w:r>
      <w:bookmarkEnd w:id="3"/>
    </w:p>
    <w:p w14:paraId="38DBFDC7" w14:textId="6A8A4DAA" w:rsidR="00145767" w:rsidRDefault="00145767" w:rsidP="00145767">
      <w:pPr>
        <w:pStyle w:val="DHHSbody"/>
      </w:pPr>
      <w:r w:rsidRPr="001C4894">
        <w:t xml:space="preserve">The National Disability Insurance </w:t>
      </w:r>
      <w:r>
        <w:t>Scheme</w:t>
      </w:r>
      <w:r w:rsidRPr="001C4894">
        <w:t xml:space="preserve"> is a national program that </w:t>
      </w:r>
      <w:r>
        <w:t xml:space="preserve">has changed </w:t>
      </w:r>
      <w:r w:rsidRPr="001C4894">
        <w:t xml:space="preserve">the way disability support is funded, </w:t>
      </w:r>
      <w:r w:rsidR="006E4FF1" w:rsidRPr="001C4894">
        <w:t>accessed,</w:t>
      </w:r>
      <w:r w:rsidRPr="001C4894">
        <w:t xml:space="preserve"> and provided for people with permanent and significant disability in Australia. It is joint</w:t>
      </w:r>
      <w:r>
        <w:t>ly</w:t>
      </w:r>
      <w:r w:rsidRPr="001C4894">
        <w:t xml:space="preserve"> funded by the Commonwealth and state and territory governments and provides individualised supports and services for people with a disability, their </w:t>
      </w:r>
      <w:r w:rsidR="006E4FF1" w:rsidRPr="001C4894">
        <w:t>families,</w:t>
      </w:r>
      <w:r w:rsidRPr="001C4894">
        <w:t xml:space="preserve"> and care</w:t>
      </w:r>
      <w:r>
        <w:t>r</w:t>
      </w:r>
      <w:r w:rsidRPr="001C4894">
        <w:t>s to achieve their goals and aspirations.</w:t>
      </w:r>
      <w:r>
        <w:t xml:space="preserve"> </w:t>
      </w:r>
    </w:p>
    <w:p w14:paraId="6AA3962E" w14:textId="77777777" w:rsidR="00145767" w:rsidRDefault="00145767" w:rsidP="00145767">
      <w:pPr>
        <w:pStyle w:val="DHHSbody"/>
      </w:pPr>
      <w:r>
        <w:t>The National Disability Insurance Scheme in Victoria started rolling out in July 2016 and is now available across the whole state.</w:t>
      </w:r>
    </w:p>
    <w:p w14:paraId="7A3A80B0" w14:textId="63AD1AE8" w:rsidR="00336F60" w:rsidRDefault="00145767" w:rsidP="0044036B">
      <w:pPr>
        <w:pStyle w:val="DHHSbody"/>
      </w:pPr>
      <w:r w:rsidRPr="001B63E7">
        <w:t>At the end of 20</w:t>
      </w:r>
      <w:r>
        <w:t>20-21</w:t>
      </w:r>
      <w:r w:rsidRPr="001B63E7">
        <w:t xml:space="preserve"> there are </w:t>
      </w:r>
      <w:r>
        <w:t xml:space="preserve">108,786 active </w:t>
      </w:r>
      <w:r w:rsidRPr="001B63E7">
        <w:t xml:space="preserve">National Disability Insurance Scheme participants </w:t>
      </w:r>
      <w:r>
        <w:t>that Victoria is jointly funding with the Commonwealth</w:t>
      </w:r>
      <w:r w:rsidR="004D540F">
        <w:t xml:space="preserve">, </w:t>
      </w:r>
      <w:r w:rsidR="004D540F" w:rsidRPr="00080F7E">
        <w:t>noting that Victoria’s funding contribution is fixed other than annual indexation</w:t>
      </w:r>
      <w:r w:rsidRPr="001B63E7">
        <w:t>. This includes former state and Commonwealth clients and people newly</w:t>
      </w:r>
      <w:r>
        <w:t xml:space="preserve"> receiving support. </w:t>
      </w:r>
      <w:r w:rsidR="00336F60" w:rsidRPr="004077E4">
        <w:t>Previously funded state clients and non-residents not eligible for the NDIS continue to receive Victorian Government funded services under the State’s Continuity of Support arrangements</w:t>
      </w:r>
      <w:r w:rsidR="00336F60">
        <w:t>.</w:t>
      </w:r>
    </w:p>
    <w:p w14:paraId="49736BF9" w14:textId="29E723C8" w:rsidR="00C25D70" w:rsidRDefault="00B9156E" w:rsidP="00C25D70">
      <w:pPr>
        <w:pStyle w:val="Heading1"/>
      </w:pPr>
      <w:bookmarkStart w:id="4" w:name="_Toc82183230"/>
      <w:r>
        <w:t>Forensic Disability Services</w:t>
      </w:r>
      <w:bookmarkEnd w:id="4"/>
    </w:p>
    <w:p w14:paraId="35927EA3" w14:textId="651A5E4F" w:rsidR="000A5441" w:rsidRDefault="000A5441" w:rsidP="000A5441">
      <w:pPr>
        <w:pStyle w:val="DHHSbody"/>
      </w:pPr>
      <w:r w:rsidRPr="007343F3">
        <w:t xml:space="preserve">Forensic Disability Services </w:t>
      </w:r>
      <w:r>
        <w:t>assist p</w:t>
      </w:r>
      <w:r w:rsidRPr="007343F3">
        <w:t xml:space="preserve">eople with cognitive disability in contact with the criminal justice system need targeted </w:t>
      </w:r>
      <w:r>
        <w:t>treatment and support. F</w:t>
      </w:r>
      <w:r w:rsidRPr="007343F3">
        <w:t xml:space="preserve">orensic </w:t>
      </w:r>
      <w:r>
        <w:t>D</w:t>
      </w:r>
      <w:r w:rsidRPr="007343F3">
        <w:t xml:space="preserve">isability </w:t>
      </w:r>
      <w:r>
        <w:t>S</w:t>
      </w:r>
      <w:r w:rsidRPr="007343F3">
        <w:t xml:space="preserve">ervices comprise of intake and advice, residential, </w:t>
      </w:r>
      <w:r w:rsidR="009717D2" w:rsidRPr="007343F3">
        <w:t>clinical,</w:t>
      </w:r>
      <w:r w:rsidRPr="007343F3">
        <w:t xml:space="preserve"> and case management responses that operate in parallel and are complementary to</w:t>
      </w:r>
      <w:r>
        <w:t xml:space="preserve"> </w:t>
      </w:r>
      <w:r w:rsidRPr="007343F3">
        <w:t xml:space="preserve">justice service systems </w:t>
      </w:r>
      <w:r>
        <w:t xml:space="preserve">and </w:t>
      </w:r>
      <w:r w:rsidRPr="007343F3">
        <w:t xml:space="preserve">disability support </w:t>
      </w:r>
      <w:r>
        <w:t>through the National Disability Insurance Scheme</w:t>
      </w:r>
      <w:r w:rsidRPr="007343F3">
        <w:t>. These services are aimed at being transitional, providing a pathway to people with cognitive disability leading meaningful and prosocial lives in the community.</w:t>
      </w:r>
      <w:r>
        <w:t xml:space="preserve"> </w:t>
      </w:r>
    </w:p>
    <w:p w14:paraId="5010F095" w14:textId="04FAFDD8" w:rsidR="000A5441" w:rsidRDefault="000A5441" w:rsidP="005E616E">
      <w:pPr>
        <w:pStyle w:val="DHHSbody"/>
        <w:spacing w:after="240"/>
      </w:pPr>
      <w:r>
        <w:t xml:space="preserve">Forensic Disability services provide treatment and support to a target of 750 people with cognitive disability each month. In June 2020, the end of </w:t>
      </w:r>
      <w:r w:rsidR="00080F7E">
        <w:t>2019-20-year</w:t>
      </w:r>
      <w:r>
        <w:t xml:space="preserve"> result was 638. This result reflected </w:t>
      </w:r>
      <w:r w:rsidRPr="0088573F">
        <w:t>a 14</w:t>
      </w:r>
      <w:r>
        <w:t xml:space="preserve"> percent </w:t>
      </w:r>
      <w:r w:rsidRPr="0088573F">
        <w:t>decrease from the target, likely due to COVID impacts on court and psych</w:t>
      </w:r>
      <w:r>
        <w:t>ological</w:t>
      </w:r>
      <w:r w:rsidRPr="0088573F">
        <w:t xml:space="preserve"> assessment processes. </w:t>
      </w:r>
      <w:r w:rsidR="00BF5BB0">
        <w:t>Treatment and support n</w:t>
      </w:r>
      <w:r>
        <w:t xml:space="preserve">umbers have recovered </w:t>
      </w:r>
      <w:r w:rsidR="00923ED5">
        <w:t>in 2020-21</w:t>
      </w:r>
      <w:r w:rsidR="00F67C7D">
        <w:t xml:space="preserve"> with </w:t>
      </w:r>
      <w:r w:rsidRPr="0088573F">
        <w:t>criminal justice processes resum</w:t>
      </w:r>
      <w:r>
        <w:t>ing</w:t>
      </w:r>
      <w:r w:rsidR="00F67C7D">
        <w:t xml:space="preserve">. The </w:t>
      </w:r>
      <w:r w:rsidR="00CF7084">
        <w:t xml:space="preserve">June </w:t>
      </w:r>
      <w:r>
        <w:t xml:space="preserve">2021 result </w:t>
      </w:r>
      <w:r w:rsidR="0088298B">
        <w:t xml:space="preserve">of </w:t>
      </w:r>
      <w:r>
        <w:t>7</w:t>
      </w:r>
      <w:r w:rsidR="004B56D5">
        <w:t>89</w:t>
      </w:r>
      <w:r w:rsidR="0088298B">
        <w:t xml:space="preserve"> was 5% above target</w:t>
      </w:r>
      <w:r w:rsidRPr="0088573F">
        <w:t>.</w:t>
      </w:r>
    </w:p>
    <w:p w14:paraId="6B172D2A" w14:textId="542EAB78" w:rsidR="00945877" w:rsidRDefault="009A746E" w:rsidP="0044036B">
      <w:pPr>
        <w:pStyle w:val="Tablecaption"/>
      </w:pPr>
      <w:r>
        <w:t xml:space="preserve">Table </w:t>
      </w:r>
      <w:r w:rsidR="0007476E">
        <w:fldChar w:fldCharType="begin"/>
      </w:r>
      <w:r w:rsidR="0007476E">
        <w:instrText xml:space="preserve"> SEQ Table \* ARABIC </w:instrText>
      </w:r>
      <w:r w:rsidR="0007476E">
        <w:fldChar w:fldCharType="separate"/>
      </w:r>
      <w:r w:rsidR="009F07D1" w:rsidRPr="7683169F">
        <w:rPr>
          <w:noProof/>
        </w:rPr>
        <w:t>1</w:t>
      </w:r>
      <w:r w:rsidR="0007476E">
        <w:rPr>
          <w:noProof/>
        </w:rPr>
        <w:fldChar w:fldCharType="end"/>
      </w:r>
      <w:r w:rsidR="0044036B">
        <w:t xml:space="preserve">: </w:t>
      </w:r>
      <w:r w:rsidR="00945877">
        <w:t xml:space="preserve">Clients receiving forensic disability </w:t>
      </w:r>
      <w:r w:rsidR="05BDA304">
        <w:t>s</w:t>
      </w:r>
      <w:r w:rsidR="00945877">
        <w:t>ervice</w:t>
      </w:r>
      <w:r w:rsidR="004A6EF0">
        <w:t xml:space="preserve"> </w:t>
      </w:r>
      <w:r w:rsidR="00945877">
        <w:t>(number)</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1"/>
        <w:gridCol w:w="1331"/>
        <w:gridCol w:w="1332"/>
        <w:gridCol w:w="1332"/>
      </w:tblGrid>
      <w:tr w:rsidR="005E616E" w:rsidRPr="00BE37A5" w14:paraId="46A72652" w14:textId="41BF00BB" w:rsidTr="0044036B">
        <w:trPr>
          <w:trHeight w:val="20"/>
        </w:trPr>
        <w:tc>
          <w:tcPr>
            <w:tcW w:w="6211" w:type="dxa"/>
            <w:tcBorders>
              <w:bottom w:val="single" w:sz="4" w:space="0" w:color="auto"/>
            </w:tcBorders>
            <w:vAlign w:val="center"/>
          </w:tcPr>
          <w:p w14:paraId="0F6CFD4E" w14:textId="59C46EA4" w:rsidR="005E616E" w:rsidRDefault="005E616E" w:rsidP="0087192E">
            <w:pPr>
              <w:pStyle w:val="Tablecolhead"/>
              <w:spacing w:before="0"/>
            </w:pPr>
          </w:p>
        </w:tc>
        <w:tc>
          <w:tcPr>
            <w:tcW w:w="1331" w:type="dxa"/>
            <w:tcBorders>
              <w:bottom w:val="single" w:sz="4" w:space="0" w:color="auto"/>
            </w:tcBorders>
            <w:vAlign w:val="center"/>
          </w:tcPr>
          <w:p w14:paraId="633E5BCC" w14:textId="77777777" w:rsidR="005E616E" w:rsidRDefault="005E616E" w:rsidP="00317030">
            <w:pPr>
              <w:pStyle w:val="Tablecolhead"/>
              <w:spacing w:before="0"/>
              <w:jc w:val="right"/>
            </w:pPr>
            <w:r>
              <w:t>Target</w:t>
            </w:r>
          </w:p>
        </w:tc>
        <w:tc>
          <w:tcPr>
            <w:tcW w:w="1332" w:type="dxa"/>
            <w:tcBorders>
              <w:bottom w:val="single" w:sz="4" w:space="0" w:color="auto"/>
            </w:tcBorders>
            <w:vAlign w:val="center"/>
          </w:tcPr>
          <w:p w14:paraId="6A547F5E" w14:textId="77777777" w:rsidR="005E616E" w:rsidRDefault="005E616E" w:rsidP="00317030">
            <w:pPr>
              <w:pStyle w:val="Tablecolhead"/>
              <w:spacing w:before="0"/>
              <w:jc w:val="right"/>
            </w:pPr>
            <w:r>
              <w:t>Result</w:t>
            </w:r>
          </w:p>
        </w:tc>
        <w:tc>
          <w:tcPr>
            <w:tcW w:w="1332" w:type="dxa"/>
            <w:tcBorders>
              <w:bottom w:val="single" w:sz="4" w:space="0" w:color="auto"/>
            </w:tcBorders>
            <w:vAlign w:val="center"/>
          </w:tcPr>
          <w:p w14:paraId="578BEC22" w14:textId="1311D809" w:rsidR="005E616E" w:rsidRDefault="005E616E" w:rsidP="00317030">
            <w:pPr>
              <w:pStyle w:val="Tablecolhead"/>
              <w:spacing w:before="0"/>
              <w:jc w:val="right"/>
            </w:pPr>
            <w:r>
              <w:t>Variance</w:t>
            </w:r>
          </w:p>
        </w:tc>
      </w:tr>
      <w:tr w:rsidR="005E616E" w:rsidRPr="00BE37A5" w14:paraId="4B97A773" w14:textId="2B1CFBED" w:rsidTr="0044036B">
        <w:trPr>
          <w:trHeight w:val="20"/>
        </w:trPr>
        <w:tc>
          <w:tcPr>
            <w:tcW w:w="6211" w:type="dxa"/>
            <w:tcBorders>
              <w:top w:val="single" w:sz="4" w:space="0" w:color="auto"/>
            </w:tcBorders>
            <w:vAlign w:val="center"/>
          </w:tcPr>
          <w:p w14:paraId="1575E438" w14:textId="0B2C36A0" w:rsidR="005E616E" w:rsidRPr="00BE37A5" w:rsidRDefault="0067334D" w:rsidP="00D64A7D">
            <w:pPr>
              <w:pStyle w:val="Tablecolhead"/>
            </w:pPr>
            <w:r>
              <w:t>2020-21</w:t>
            </w:r>
          </w:p>
        </w:tc>
        <w:tc>
          <w:tcPr>
            <w:tcW w:w="1331" w:type="dxa"/>
            <w:tcBorders>
              <w:top w:val="single" w:sz="4" w:space="0" w:color="auto"/>
            </w:tcBorders>
            <w:vAlign w:val="center"/>
          </w:tcPr>
          <w:p w14:paraId="66C0F64F" w14:textId="77777777" w:rsidR="005E616E" w:rsidRDefault="005E616E" w:rsidP="00317030">
            <w:pPr>
              <w:pStyle w:val="Tabletext"/>
              <w:jc w:val="right"/>
            </w:pPr>
            <w:r>
              <w:t>750</w:t>
            </w:r>
          </w:p>
        </w:tc>
        <w:tc>
          <w:tcPr>
            <w:tcW w:w="1332" w:type="dxa"/>
            <w:tcBorders>
              <w:top w:val="single" w:sz="4" w:space="0" w:color="auto"/>
            </w:tcBorders>
            <w:vAlign w:val="center"/>
          </w:tcPr>
          <w:p w14:paraId="13B616DC" w14:textId="77777777" w:rsidR="005E616E" w:rsidRDefault="005E616E" w:rsidP="00317030">
            <w:pPr>
              <w:pStyle w:val="Tabletext"/>
              <w:jc w:val="right"/>
            </w:pPr>
            <w:r>
              <w:t>789</w:t>
            </w:r>
          </w:p>
        </w:tc>
        <w:tc>
          <w:tcPr>
            <w:tcW w:w="1332" w:type="dxa"/>
            <w:tcBorders>
              <w:top w:val="single" w:sz="4" w:space="0" w:color="auto"/>
            </w:tcBorders>
            <w:vAlign w:val="center"/>
          </w:tcPr>
          <w:p w14:paraId="11F9793C" w14:textId="49586325" w:rsidR="005E616E" w:rsidRDefault="00812F8D" w:rsidP="00317030">
            <w:pPr>
              <w:pStyle w:val="Tabletext"/>
              <w:jc w:val="right"/>
            </w:pPr>
            <w:r>
              <w:t>+5%</w:t>
            </w:r>
          </w:p>
        </w:tc>
      </w:tr>
      <w:tr w:rsidR="0067334D" w14:paraId="1B5EBAEC" w14:textId="77777777" w:rsidTr="0044036B">
        <w:trPr>
          <w:trHeight w:val="20"/>
        </w:trPr>
        <w:tc>
          <w:tcPr>
            <w:tcW w:w="6211" w:type="dxa"/>
            <w:tcBorders>
              <w:bottom w:val="single" w:sz="4" w:space="0" w:color="auto"/>
            </w:tcBorders>
            <w:vAlign w:val="center"/>
          </w:tcPr>
          <w:p w14:paraId="0AE449F6" w14:textId="4220014C" w:rsidR="0067334D" w:rsidRDefault="0067334D" w:rsidP="00D64A7D">
            <w:pPr>
              <w:pStyle w:val="Tablecolhead"/>
            </w:pPr>
            <w:r>
              <w:t>2019-20</w:t>
            </w:r>
          </w:p>
        </w:tc>
        <w:tc>
          <w:tcPr>
            <w:tcW w:w="1331" w:type="dxa"/>
            <w:tcBorders>
              <w:bottom w:val="single" w:sz="4" w:space="0" w:color="auto"/>
            </w:tcBorders>
            <w:vAlign w:val="center"/>
          </w:tcPr>
          <w:p w14:paraId="72F616AA" w14:textId="39B3F38D" w:rsidR="0067334D" w:rsidRDefault="0067334D" w:rsidP="00317030">
            <w:pPr>
              <w:pStyle w:val="Tabletext"/>
              <w:jc w:val="right"/>
            </w:pPr>
            <w:r>
              <w:t>750</w:t>
            </w:r>
          </w:p>
        </w:tc>
        <w:tc>
          <w:tcPr>
            <w:tcW w:w="1332" w:type="dxa"/>
            <w:tcBorders>
              <w:bottom w:val="single" w:sz="4" w:space="0" w:color="auto"/>
            </w:tcBorders>
            <w:vAlign w:val="center"/>
          </w:tcPr>
          <w:p w14:paraId="65D06FB7" w14:textId="3A83D759" w:rsidR="0067334D" w:rsidRDefault="0067334D" w:rsidP="00317030">
            <w:pPr>
              <w:pStyle w:val="Tabletext"/>
              <w:jc w:val="right"/>
            </w:pPr>
            <w:r>
              <w:t>638</w:t>
            </w:r>
          </w:p>
        </w:tc>
        <w:tc>
          <w:tcPr>
            <w:tcW w:w="1332" w:type="dxa"/>
            <w:tcBorders>
              <w:bottom w:val="single" w:sz="4" w:space="0" w:color="auto"/>
            </w:tcBorders>
            <w:vAlign w:val="center"/>
          </w:tcPr>
          <w:p w14:paraId="085AB858" w14:textId="6F8CFFC2" w:rsidR="0067334D" w:rsidRDefault="003C0EB0" w:rsidP="00317030">
            <w:pPr>
              <w:pStyle w:val="Tabletext"/>
              <w:jc w:val="right"/>
            </w:pPr>
            <w:r>
              <w:t>-14%</w:t>
            </w:r>
          </w:p>
        </w:tc>
      </w:tr>
    </w:tbl>
    <w:p w14:paraId="34EA6BE8" w14:textId="59192FA2" w:rsidR="000A5441" w:rsidRDefault="000A5441" w:rsidP="00384FC1">
      <w:pPr>
        <w:pStyle w:val="DHHSbody"/>
        <w:spacing w:before="120"/>
      </w:pPr>
      <w:r>
        <w:t>Forensic Residential Services includes a network of secure and non-secure services and include</w:t>
      </w:r>
      <w:r w:rsidR="00894B0F">
        <w:t>s</w:t>
      </w:r>
      <w:r>
        <w:t xml:space="preserve"> two secure residential treatment facilities</w:t>
      </w:r>
      <w:r w:rsidR="00E236E9">
        <w:t xml:space="preserve">, </w:t>
      </w:r>
      <w:r>
        <w:t xml:space="preserve">the Intensive Residential Treatment Program (IRTP) and the </w:t>
      </w:r>
      <w:r w:rsidR="00556ECA">
        <w:t>Long-Term</w:t>
      </w:r>
      <w:r>
        <w:t xml:space="preserve"> Residential Program (LTRP). The IRTP is a medium secure facility with a maximum of 14 beds across three units allowing placement for a maximum period of five years. One of the units is currently being used to accommodate a single resident with complex behavioural needs unable to reside in a congregate setting, which reduces the overall utilisation rate. </w:t>
      </w:r>
    </w:p>
    <w:p w14:paraId="40A0685F" w14:textId="6A419F9A" w:rsidR="00784D2E" w:rsidRPr="00784D2E" w:rsidRDefault="00784D2E" w:rsidP="00784D2E">
      <w:pPr>
        <w:pStyle w:val="Heading3"/>
        <w:rPr>
          <w:b w:val="0"/>
          <w:bCs w:val="0"/>
        </w:rPr>
      </w:pPr>
      <w:r w:rsidRPr="00784D2E">
        <w:rPr>
          <w:b w:val="0"/>
          <w:bCs w:val="0"/>
        </w:rPr>
        <w:t>Forensic disability residents participating in community reintegration activities</w:t>
      </w:r>
    </w:p>
    <w:p w14:paraId="203A6CB7" w14:textId="6BCC5CF6" w:rsidR="000A5441" w:rsidRDefault="000A5441" w:rsidP="000A5441">
      <w:pPr>
        <w:pStyle w:val="DHHSbody"/>
      </w:pPr>
      <w:r>
        <w:t xml:space="preserve">In 2020-21, a new measure was introduced in relation to forensic disability residents participating in community reintegration activities. </w:t>
      </w:r>
      <w:r w:rsidRPr="00B26482">
        <w:t xml:space="preserve">Community reintegration activities are services which are provided with the intention to increase the </w:t>
      </w:r>
      <w:r w:rsidR="00C33CCD" w:rsidRPr="00B26482">
        <w:t>resid</w:t>
      </w:r>
      <w:r w:rsidR="00C33CCD">
        <w:t>e</w:t>
      </w:r>
      <w:r w:rsidR="00C33CCD" w:rsidRPr="00B26482">
        <w:t>nt’s</w:t>
      </w:r>
      <w:r w:rsidRPr="00B26482">
        <w:t xml:space="preserve"> ability to transition to more independent or less restrictive living options within the community.</w:t>
      </w:r>
      <w:r>
        <w:t xml:space="preserve"> The </w:t>
      </w:r>
      <w:r w:rsidR="00DA13C0">
        <w:t xml:space="preserve">June </w:t>
      </w:r>
      <w:r>
        <w:t xml:space="preserve">2021 result was </w:t>
      </w:r>
      <w:r w:rsidR="005E616E">
        <w:t>81.8</w:t>
      </w:r>
      <w:r>
        <w:t xml:space="preserve"> percent against a target of 80 percent.</w:t>
      </w:r>
    </w:p>
    <w:p w14:paraId="1A173EA2" w14:textId="2C33D4CB" w:rsidR="00784D2E" w:rsidRPr="00DC5679" w:rsidRDefault="0044036B" w:rsidP="0044036B">
      <w:pPr>
        <w:pStyle w:val="Tablecaption"/>
        <w:spacing w:before="0" w:after="0"/>
      </w:pPr>
      <w:r>
        <w:lastRenderedPageBreak/>
        <w:t xml:space="preserve">Table </w:t>
      </w:r>
      <w:r>
        <w:fldChar w:fldCharType="begin"/>
      </w:r>
      <w:r>
        <w:instrText>SEQ Table \* ARABIC</w:instrText>
      </w:r>
      <w:r>
        <w:fldChar w:fldCharType="separate"/>
      </w:r>
      <w:r w:rsidR="009F07D1">
        <w:rPr>
          <w:noProof/>
        </w:rPr>
        <w:t>2</w:t>
      </w:r>
      <w:r>
        <w:fldChar w:fldCharType="end"/>
      </w:r>
      <w:r>
        <w:t xml:space="preserve">: </w:t>
      </w:r>
      <w:r w:rsidR="00DC5679" w:rsidRPr="00DC5679">
        <w:t>Residents participating in community reintegration activities</w:t>
      </w:r>
      <w:r w:rsidR="00DC5679">
        <w:t xml:space="preserve"> (per cent)</w:t>
      </w: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8"/>
        <w:gridCol w:w="1467"/>
        <w:gridCol w:w="1468"/>
        <w:gridCol w:w="1451"/>
      </w:tblGrid>
      <w:tr w:rsidR="0040745E" w14:paraId="4E6DE857" w14:textId="77777777" w:rsidTr="00F82BBF">
        <w:trPr>
          <w:trHeight w:val="397"/>
        </w:trPr>
        <w:tc>
          <w:tcPr>
            <w:tcW w:w="5818" w:type="dxa"/>
            <w:tcBorders>
              <w:bottom w:val="single" w:sz="4" w:space="0" w:color="auto"/>
            </w:tcBorders>
            <w:vAlign w:val="center"/>
          </w:tcPr>
          <w:p w14:paraId="604404FE" w14:textId="076CCD60" w:rsidR="0040745E" w:rsidRDefault="0040745E" w:rsidP="0044036B">
            <w:pPr>
              <w:pStyle w:val="Figurecaption"/>
              <w:spacing w:before="0" w:after="0"/>
            </w:pPr>
          </w:p>
        </w:tc>
        <w:tc>
          <w:tcPr>
            <w:tcW w:w="1467" w:type="dxa"/>
            <w:tcBorders>
              <w:bottom w:val="single" w:sz="4" w:space="0" w:color="auto"/>
            </w:tcBorders>
            <w:vAlign w:val="center"/>
          </w:tcPr>
          <w:p w14:paraId="2C805D71" w14:textId="77777777" w:rsidR="0040745E" w:rsidRDefault="0040745E" w:rsidP="0044036B">
            <w:pPr>
              <w:pStyle w:val="Tablecolhead"/>
              <w:spacing w:before="0" w:after="0"/>
              <w:jc w:val="right"/>
            </w:pPr>
            <w:r>
              <w:t>Target</w:t>
            </w:r>
          </w:p>
        </w:tc>
        <w:tc>
          <w:tcPr>
            <w:tcW w:w="1468" w:type="dxa"/>
            <w:tcBorders>
              <w:bottom w:val="single" w:sz="4" w:space="0" w:color="auto"/>
            </w:tcBorders>
            <w:vAlign w:val="center"/>
          </w:tcPr>
          <w:p w14:paraId="538D715F" w14:textId="77777777" w:rsidR="0040745E" w:rsidRDefault="0040745E" w:rsidP="0044036B">
            <w:pPr>
              <w:pStyle w:val="Tablecolhead"/>
              <w:spacing w:before="0" w:after="0"/>
              <w:jc w:val="right"/>
            </w:pPr>
            <w:r>
              <w:t>Result</w:t>
            </w:r>
          </w:p>
        </w:tc>
        <w:tc>
          <w:tcPr>
            <w:tcW w:w="1451" w:type="dxa"/>
            <w:tcBorders>
              <w:bottom w:val="single" w:sz="4" w:space="0" w:color="auto"/>
            </w:tcBorders>
            <w:vAlign w:val="center"/>
          </w:tcPr>
          <w:p w14:paraId="744321A0" w14:textId="77777777" w:rsidR="0040745E" w:rsidRDefault="0040745E" w:rsidP="0044036B">
            <w:pPr>
              <w:pStyle w:val="Tablecolhead"/>
              <w:spacing w:before="0" w:after="0"/>
              <w:jc w:val="right"/>
            </w:pPr>
            <w:r>
              <w:t>Variance</w:t>
            </w:r>
          </w:p>
        </w:tc>
      </w:tr>
      <w:tr w:rsidR="00DC5679" w14:paraId="20A02FDA" w14:textId="77777777" w:rsidTr="00DC5679">
        <w:trPr>
          <w:trHeight w:val="510"/>
        </w:trPr>
        <w:tc>
          <w:tcPr>
            <w:tcW w:w="5818" w:type="dxa"/>
            <w:tcBorders>
              <w:top w:val="single" w:sz="4" w:space="0" w:color="auto"/>
              <w:bottom w:val="single" w:sz="4" w:space="0" w:color="auto"/>
            </w:tcBorders>
            <w:vAlign w:val="center"/>
          </w:tcPr>
          <w:p w14:paraId="69773D20" w14:textId="13AF7BF8" w:rsidR="00DC5679" w:rsidRPr="00C85A69" w:rsidRDefault="00DC5679" w:rsidP="0044036B">
            <w:pPr>
              <w:pStyle w:val="Body"/>
              <w:spacing w:after="0"/>
              <w:rPr>
                <w:bCs/>
              </w:rPr>
            </w:pPr>
            <w:r w:rsidRPr="00080158">
              <w:t>Forensic disability residents participating in community reintegration activities</w:t>
            </w:r>
          </w:p>
        </w:tc>
        <w:tc>
          <w:tcPr>
            <w:tcW w:w="1467" w:type="dxa"/>
            <w:tcBorders>
              <w:top w:val="single" w:sz="4" w:space="0" w:color="auto"/>
              <w:bottom w:val="single" w:sz="4" w:space="0" w:color="auto"/>
            </w:tcBorders>
            <w:vAlign w:val="center"/>
          </w:tcPr>
          <w:p w14:paraId="1E70E791" w14:textId="76DBBC5B" w:rsidR="00DC5679" w:rsidRDefault="00DC5679" w:rsidP="0044036B">
            <w:pPr>
              <w:pStyle w:val="Body"/>
              <w:spacing w:after="0"/>
              <w:jc w:val="right"/>
            </w:pPr>
            <w:r>
              <w:t>80</w:t>
            </w:r>
          </w:p>
        </w:tc>
        <w:tc>
          <w:tcPr>
            <w:tcW w:w="1468" w:type="dxa"/>
            <w:tcBorders>
              <w:top w:val="single" w:sz="4" w:space="0" w:color="auto"/>
              <w:bottom w:val="single" w:sz="4" w:space="0" w:color="auto"/>
            </w:tcBorders>
            <w:vAlign w:val="center"/>
          </w:tcPr>
          <w:p w14:paraId="6C707193" w14:textId="37CA34C7" w:rsidR="00DC5679" w:rsidRDefault="00DC5679" w:rsidP="0044036B">
            <w:pPr>
              <w:pStyle w:val="Body"/>
              <w:spacing w:after="0"/>
              <w:jc w:val="right"/>
            </w:pPr>
            <w:r>
              <w:t>81.8</w:t>
            </w:r>
          </w:p>
        </w:tc>
        <w:tc>
          <w:tcPr>
            <w:tcW w:w="1451" w:type="dxa"/>
            <w:tcBorders>
              <w:top w:val="single" w:sz="4" w:space="0" w:color="auto"/>
              <w:bottom w:val="single" w:sz="4" w:space="0" w:color="auto"/>
            </w:tcBorders>
            <w:vAlign w:val="center"/>
          </w:tcPr>
          <w:p w14:paraId="30C214AE" w14:textId="7DDAD1A3" w:rsidR="00DC5679" w:rsidRDefault="00DC5679" w:rsidP="0044036B">
            <w:pPr>
              <w:pStyle w:val="Body"/>
              <w:spacing w:after="0"/>
              <w:jc w:val="right"/>
            </w:pPr>
            <w:r>
              <w:t>+1.8pp</w:t>
            </w:r>
          </w:p>
        </w:tc>
      </w:tr>
    </w:tbl>
    <w:p w14:paraId="5D3AD736" w14:textId="355F2389" w:rsidR="00DC5679" w:rsidRPr="00DC5679" w:rsidRDefault="00DC5679" w:rsidP="00DC5679">
      <w:pPr>
        <w:pStyle w:val="Heading3"/>
        <w:rPr>
          <w:b w:val="0"/>
          <w:bCs w:val="0"/>
        </w:rPr>
      </w:pPr>
      <w:r w:rsidRPr="00DC5679">
        <w:rPr>
          <w:b w:val="0"/>
          <w:bCs w:val="0"/>
        </w:rPr>
        <w:t>Target Group Assessments</w:t>
      </w:r>
    </w:p>
    <w:p w14:paraId="7C695C41" w14:textId="31432DFA" w:rsidR="000A5441" w:rsidRPr="00843241" w:rsidRDefault="000A5441" w:rsidP="000A5441">
      <w:pPr>
        <w:pStyle w:val="DHHSbody"/>
      </w:pPr>
      <w:r w:rsidRPr="00843241">
        <w:t>Access to Forensic Disability is determined by u</w:t>
      </w:r>
      <w:r w:rsidRPr="00843241">
        <w:rPr>
          <w:rStyle w:val="normaltextrun"/>
          <w:color w:val="000000"/>
          <w:shd w:val="clear" w:color="auto" w:fill="FFFFFF"/>
        </w:rPr>
        <w:t xml:space="preserve">ndertaking Target Group Assessments on individuals referred for forensic disability services. </w:t>
      </w:r>
      <w:r w:rsidRPr="00843241">
        <w:rPr>
          <w:rStyle w:val="normaltextrun"/>
          <w:rFonts w:cs="Arial"/>
          <w:color w:val="000000"/>
          <w:shd w:val="clear" w:color="auto" w:fill="FFFFFF"/>
        </w:rPr>
        <w:t>A target group assessment is based on the interpretation of psychometric and adaptive behaviour testing to ascertain if a person meets the diagnostic criteria for a cognitive disability or impairment within the </w:t>
      </w:r>
      <w:r w:rsidRPr="00843241">
        <w:rPr>
          <w:rStyle w:val="normaltextrun"/>
          <w:rFonts w:cs="Arial"/>
          <w:i/>
          <w:iCs/>
          <w:color w:val="000000"/>
          <w:shd w:val="clear" w:color="auto" w:fill="FFFFFF"/>
        </w:rPr>
        <w:t>Disability Act 2006</w:t>
      </w:r>
      <w:r w:rsidRPr="00843241">
        <w:rPr>
          <w:rStyle w:val="normaltextrun"/>
          <w:rFonts w:cs="Arial"/>
          <w:color w:val="000000"/>
          <w:shd w:val="clear" w:color="auto" w:fill="FFFFFF"/>
        </w:rPr>
        <w:t>.</w:t>
      </w:r>
      <w:r w:rsidRPr="00843241">
        <w:rPr>
          <w:rStyle w:val="eop"/>
          <w:rFonts w:cs="Arial"/>
          <w:color w:val="000000"/>
          <w:shd w:val="clear" w:color="auto" w:fill="FFFFFF"/>
        </w:rPr>
        <w:t> Timely target group assessments support court proceedings and individual and criminal justice system outcomes.</w:t>
      </w:r>
      <w:r w:rsidR="000460A9" w:rsidRPr="00843241">
        <w:rPr>
          <w:rStyle w:val="eop"/>
          <w:rFonts w:cs="Arial"/>
          <w:color w:val="000000"/>
          <w:shd w:val="clear" w:color="auto" w:fill="FFFFFF"/>
        </w:rPr>
        <w:t xml:space="preserve"> </w:t>
      </w:r>
      <w:r w:rsidRPr="00843241">
        <w:rPr>
          <w:rStyle w:val="eop"/>
          <w:rFonts w:cs="Arial"/>
          <w:color w:val="000000"/>
          <w:shd w:val="clear" w:color="auto" w:fill="FFFFFF"/>
        </w:rPr>
        <w:t xml:space="preserve">In 2020-21, a new measure was introduced regarding the proportion of target group assessments completed within six weeks, with a target of 80 percent. The </w:t>
      </w:r>
      <w:r w:rsidR="007F399D" w:rsidRPr="00843241">
        <w:rPr>
          <w:rStyle w:val="eop"/>
          <w:rFonts w:cs="Arial"/>
          <w:color w:val="000000"/>
          <w:shd w:val="clear" w:color="auto" w:fill="FFFFFF"/>
        </w:rPr>
        <w:t xml:space="preserve">June </w:t>
      </w:r>
      <w:r w:rsidRPr="00843241">
        <w:rPr>
          <w:rStyle w:val="eop"/>
          <w:rFonts w:cs="Arial"/>
          <w:color w:val="000000"/>
          <w:shd w:val="clear" w:color="auto" w:fill="FFFFFF"/>
        </w:rPr>
        <w:t xml:space="preserve">2021 result was </w:t>
      </w:r>
      <w:r w:rsidR="00A825A5" w:rsidRPr="00843241">
        <w:rPr>
          <w:rStyle w:val="eop"/>
          <w:rFonts w:cs="Arial"/>
          <w:color w:val="000000"/>
          <w:shd w:val="clear" w:color="auto" w:fill="FFFFFF"/>
        </w:rPr>
        <w:t>82.4</w:t>
      </w:r>
      <w:r w:rsidRPr="00843241">
        <w:rPr>
          <w:rStyle w:val="eop"/>
          <w:rFonts w:cs="Arial"/>
          <w:color w:val="000000"/>
          <w:shd w:val="clear" w:color="auto" w:fill="FFFFFF"/>
        </w:rPr>
        <w:t xml:space="preserve"> percent.  </w:t>
      </w:r>
    </w:p>
    <w:p w14:paraId="5D3F33A3" w14:textId="0C31E470" w:rsidR="00E827D4" w:rsidRPr="00DC5679" w:rsidRDefault="00D45904" w:rsidP="00D613B0">
      <w:pPr>
        <w:pStyle w:val="Tablecaption"/>
      </w:pPr>
      <w:r>
        <w:t xml:space="preserve">Table </w:t>
      </w:r>
      <w:r>
        <w:fldChar w:fldCharType="begin"/>
      </w:r>
      <w:r>
        <w:instrText>SEQ Table \* ARABIC</w:instrText>
      </w:r>
      <w:r>
        <w:fldChar w:fldCharType="separate"/>
      </w:r>
      <w:r w:rsidR="009F07D1">
        <w:rPr>
          <w:noProof/>
        </w:rPr>
        <w:t>3</w:t>
      </w:r>
      <w:r>
        <w:fldChar w:fldCharType="end"/>
      </w:r>
      <w:r>
        <w:t xml:space="preserve">: </w:t>
      </w:r>
      <w:r w:rsidR="00E827D4" w:rsidRPr="002A3E0B">
        <w:t>Target Group</w:t>
      </w:r>
      <w:r w:rsidR="00E827D4">
        <w:t xml:space="preserve"> </w:t>
      </w:r>
      <w:r w:rsidR="00E827D4" w:rsidRPr="002A3E0B">
        <w:t>Assessments completed within six</w:t>
      </w:r>
      <w:r w:rsidR="00E827D4">
        <w:t xml:space="preserve"> </w:t>
      </w:r>
      <w:r w:rsidR="00E827D4" w:rsidRPr="002A3E0B">
        <w:t>Weeks</w:t>
      </w:r>
      <w:r w:rsidR="00E827D4">
        <w:t xml:space="preserve"> </w:t>
      </w:r>
      <w:r w:rsidR="00E827D4" w:rsidRPr="006429BB">
        <w:t>(per cent)</w:t>
      </w: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8"/>
        <w:gridCol w:w="1467"/>
        <w:gridCol w:w="1468"/>
        <w:gridCol w:w="1451"/>
      </w:tblGrid>
      <w:tr w:rsidR="00E827D4" w14:paraId="19AFC677" w14:textId="77777777" w:rsidTr="00F82BBF">
        <w:trPr>
          <w:trHeight w:val="397"/>
        </w:trPr>
        <w:tc>
          <w:tcPr>
            <w:tcW w:w="5818" w:type="dxa"/>
            <w:tcBorders>
              <w:bottom w:val="single" w:sz="4" w:space="0" w:color="auto"/>
            </w:tcBorders>
            <w:vAlign w:val="center"/>
          </w:tcPr>
          <w:p w14:paraId="5CACE44E" w14:textId="77777777" w:rsidR="00E827D4" w:rsidRDefault="00E827D4" w:rsidP="00C74AA4">
            <w:pPr>
              <w:pStyle w:val="Figurecaption"/>
              <w:spacing w:before="0"/>
            </w:pPr>
          </w:p>
        </w:tc>
        <w:tc>
          <w:tcPr>
            <w:tcW w:w="1467" w:type="dxa"/>
            <w:tcBorders>
              <w:bottom w:val="single" w:sz="4" w:space="0" w:color="auto"/>
            </w:tcBorders>
            <w:vAlign w:val="center"/>
          </w:tcPr>
          <w:p w14:paraId="6FBF7A58" w14:textId="77777777" w:rsidR="00E827D4" w:rsidRDefault="00E827D4" w:rsidP="00C236C1">
            <w:pPr>
              <w:pStyle w:val="Tablecolhead"/>
              <w:jc w:val="right"/>
            </w:pPr>
            <w:r>
              <w:t>Target</w:t>
            </w:r>
          </w:p>
        </w:tc>
        <w:tc>
          <w:tcPr>
            <w:tcW w:w="1468" w:type="dxa"/>
            <w:tcBorders>
              <w:bottom w:val="single" w:sz="4" w:space="0" w:color="auto"/>
            </w:tcBorders>
            <w:vAlign w:val="center"/>
          </w:tcPr>
          <w:p w14:paraId="1FC58565" w14:textId="77777777" w:rsidR="00E827D4" w:rsidRDefault="00E827D4" w:rsidP="00C236C1">
            <w:pPr>
              <w:pStyle w:val="Tablecolhead"/>
              <w:jc w:val="right"/>
            </w:pPr>
            <w:r>
              <w:t>Result</w:t>
            </w:r>
          </w:p>
        </w:tc>
        <w:tc>
          <w:tcPr>
            <w:tcW w:w="1451" w:type="dxa"/>
            <w:tcBorders>
              <w:bottom w:val="single" w:sz="4" w:space="0" w:color="auto"/>
            </w:tcBorders>
            <w:vAlign w:val="center"/>
          </w:tcPr>
          <w:p w14:paraId="779B3E3E" w14:textId="77777777" w:rsidR="00E827D4" w:rsidRDefault="00E827D4" w:rsidP="00C236C1">
            <w:pPr>
              <w:pStyle w:val="Tablecolhead"/>
              <w:jc w:val="right"/>
            </w:pPr>
            <w:r>
              <w:t>Variance</w:t>
            </w:r>
          </w:p>
        </w:tc>
      </w:tr>
      <w:tr w:rsidR="00E827D4" w14:paraId="295CA9C2" w14:textId="77777777" w:rsidTr="00C74AA4">
        <w:trPr>
          <w:trHeight w:val="510"/>
        </w:trPr>
        <w:tc>
          <w:tcPr>
            <w:tcW w:w="5818" w:type="dxa"/>
            <w:tcBorders>
              <w:top w:val="single" w:sz="4" w:space="0" w:color="auto"/>
              <w:bottom w:val="single" w:sz="4" w:space="0" w:color="auto"/>
            </w:tcBorders>
            <w:vAlign w:val="center"/>
          </w:tcPr>
          <w:p w14:paraId="075D731D" w14:textId="2AEE1585" w:rsidR="00E827D4" w:rsidRPr="00C85A69" w:rsidRDefault="00E827D4" w:rsidP="00E827D4">
            <w:pPr>
              <w:pStyle w:val="Body"/>
              <w:rPr>
                <w:bCs/>
              </w:rPr>
            </w:pPr>
            <w:r w:rsidRPr="002A3E0B">
              <w:t>Forensic disability Target Group</w:t>
            </w:r>
            <w:r>
              <w:t xml:space="preserve"> </w:t>
            </w:r>
            <w:r w:rsidRPr="002A3E0B">
              <w:t>Assessments completed within six</w:t>
            </w:r>
            <w:r>
              <w:t xml:space="preserve"> </w:t>
            </w:r>
            <w:r w:rsidRPr="002A3E0B">
              <w:t>Weeks</w:t>
            </w:r>
          </w:p>
        </w:tc>
        <w:tc>
          <w:tcPr>
            <w:tcW w:w="1467" w:type="dxa"/>
            <w:tcBorders>
              <w:top w:val="single" w:sz="4" w:space="0" w:color="auto"/>
              <w:bottom w:val="single" w:sz="4" w:space="0" w:color="auto"/>
            </w:tcBorders>
            <w:vAlign w:val="center"/>
          </w:tcPr>
          <w:p w14:paraId="2715D5A3" w14:textId="13A9582D" w:rsidR="00E827D4" w:rsidRDefault="00E827D4" w:rsidP="00E827D4">
            <w:pPr>
              <w:pStyle w:val="Body"/>
              <w:jc w:val="right"/>
            </w:pPr>
            <w:r>
              <w:t>80</w:t>
            </w:r>
          </w:p>
        </w:tc>
        <w:tc>
          <w:tcPr>
            <w:tcW w:w="1468" w:type="dxa"/>
            <w:tcBorders>
              <w:top w:val="single" w:sz="4" w:space="0" w:color="auto"/>
              <w:bottom w:val="single" w:sz="4" w:space="0" w:color="auto"/>
            </w:tcBorders>
            <w:vAlign w:val="center"/>
          </w:tcPr>
          <w:p w14:paraId="0BB1873D" w14:textId="71B4380A" w:rsidR="00E827D4" w:rsidRDefault="00E827D4" w:rsidP="00E827D4">
            <w:pPr>
              <w:pStyle w:val="Body"/>
              <w:jc w:val="right"/>
            </w:pPr>
            <w:r>
              <w:t>82.4</w:t>
            </w:r>
          </w:p>
        </w:tc>
        <w:tc>
          <w:tcPr>
            <w:tcW w:w="1451" w:type="dxa"/>
            <w:tcBorders>
              <w:top w:val="single" w:sz="4" w:space="0" w:color="auto"/>
              <w:bottom w:val="single" w:sz="4" w:space="0" w:color="auto"/>
            </w:tcBorders>
            <w:vAlign w:val="center"/>
          </w:tcPr>
          <w:p w14:paraId="349DEB67" w14:textId="1DBD8C84" w:rsidR="00E827D4" w:rsidRDefault="00E827D4" w:rsidP="00E827D4">
            <w:pPr>
              <w:pStyle w:val="Body"/>
              <w:jc w:val="right"/>
            </w:pPr>
            <w:r>
              <w:t>+2.4pp</w:t>
            </w:r>
          </w:p>
        </w:tc>
      </w:tr>
    </w:tbl>
    <w:p w14:paraId="1A1656B9" w14:textId="62CCC504" w:rsidR="00C25D70" w:rsidRPr="00876C73" w:rsidRDefault="00C25D70" w:rsidP="00876C73">
      <w:pPr>
        <w:pStyle w:val="Heading1"/>
      </w:pPr>
      <w:bookmarkStart w:id="5" w:name="_Toc82183231"/>
      <w:bookmarkStart w:id="6" w:name="_Hlk37240926"/>
      <w:bookmarkEnd w:id="0"/>
      <w:r w:rsidRPr="00876C73">
        <w:t>Client incident reports</w:t>
      </w:r>
      <w:bookmarkEnd w:id="5"/>
    </w:p>
    <w:p w14:paraId="1CD97DCA" w14:textId="251B6F24" w:rsidR="0081562C" w:rsidRPr="00843241" w:rsidRDefault="0081562C" w:rsidP="0081562C">
      <w:pPr>
        <w:pStyle w:val="Body"/>
        <w:rPr>
          <w:sz w:val="20"/>
        </w:rPr>
      </w:pPr>
      <w:r w:rsidRPr="00843241">
        <w:rPr>
          <w:sz w:val="20"/>
        </w:rPr>
        <w:t xml:space="preserve">Incident reporting data is a snapshot in time of allegations made by clients of the Department of Families, Fairness and Housing and includes disclosures of historic abuse. They are recorded and remain as incidents regardless of whether further information becomes available to substantiate or disprove an event. </w:t>
      </w:r>
    </w:p>
    <w:p w14:paraId="2827FCC3" w14:textId="77777777" w:rsidR="0081562C" w:rsidRPr="00843241" w:rsidRDefault="0081562C" w:rsidP="0081562C">
      <w:pPr>
        <w:pStyle w:val="Body"/>
        <w:rPr>
          <w:sz w:val="20"/>
        </w:rPr>
      </w:pPr>
      <w:r w:rsidRPr="00843241">
        <w:rPr>
          <w:sz w:val="20"/>
        </w:rPr>
        <w:t xml:space="preserve">The department launched the Client Incident Management System (CIMS) in 2018 to replace the Client Incident Analysis (CIA) system with the aim of ensuring and supporting consistency of understanding in managing and responding to client incidents, as well as improving the standard of responses to incidents. </w:t>
      </w:r>
    </w:p>
    <w:p w14:paraId="0021B14C" w14:textId="77777777" w:rsidR="0081562C" w:rsidRPr="00843241" w:rsidRDefault="0081562C" w:rsidP="0081562C">
      <w:pPr>
        <w:pStyle w:val="Body"/>
        <w:rPr>
          <w:sz w:val="20"/>
        </w:rPr>
      </w:pPr>
      <w:r w:rsidRPr="00843241">
        <w:rPr>
          <w:sz w:val="20"/>
        </w:rPr>
        <w:t xml:space="preserve">Department-funded organisations commenced reporting client incidents on CIMS from this date.  Department delivered disability services commenced the transition to CIMS from 4 March 2019. </w:t>
      </w:r>
    </w:p>
    <w:p w14:paraId="0D394A3E" w14:textId="3AAFB0BD" w:rsidR="0081562C" w:rsidRPr="00843241" w:rsidRDefault="0081562C" w:rsidP="0081562C">
      <w:pPr>
        <w:pStyle w:val="Body"/>
        <w:rPr>
          <w:sz w:val="20"/>
        </w:rPr>
      </w:pPr>
      <w:r w:rsidRPr="00843241">
        <w:rPr>
          <w:sz w:val="20"/>
        </w:rPr>
        <w:t>Disability accommodation services continued to use the CIA system during 20</w:t>
      </w:r>
      <w:r w:rsidR="00AE7C35" w:rsidRPr="00843241">
        <w:rPr>
          <w:sz w:val="20"/>
        </w:rPr>
        <w:t>20-21</w:t>
      </w:r>
      <w:r w:rsidRPr="00843241">
        <w:rPr>
          <w:sz w:val="20"/>
        </w:rPr>
        <w:t xml:space="preserve">. State funded disability providers transitioning to the NDIS no longer reported incidents in CIMS once transition to the NDIS occurred and state funding ceased. Disability CIA reporting ceased as of 30 June 2021.  </w:t>
      </w:r>
    </w:p>
    <w:p w14:paraId="2D63440C" w14:textId="77777777" w:rsidR="0081562C" w:rsidRPr="00843241" w:rsidRDefault="0081562C" w:rsidP="0081562C">
      <w:pPr>
        <w:pStyle w:val="Heading4"/>
        <w:rPr>
          <w:b w:val="0"/>
          <w:bCs w:val="0"/>
          <w:sz w:val="20"/>
          <w:szCs w:val="20"/>
        </w:rPr>
      </w:pPr>
      <w:bookmarkStart w:id="7" w:name="_Toc522106481"/>
      <w:bookmarkStart w:id="8" w:name="_Toc523132387"/>
      <w:r w:rsidRPr="00843241">
        <w:rPr>
          <w:b w:val="0"/>
          <w:bCs w:val="0"/>
          <w:sz w:val="20"/>
          <w:szCs w:val="20"/>
        </w:rPr>
        <w:t>Incident responses</w:t>
      </w:r>
      <w:bookmarkEnd w:id="7"/>
      <w:bookmarkEnd w:id="8"/>
    </w:p>
    <w:p w14:paraId="5436401F" w14:textId="77777777" w:rsidR="0081562C" w:rsidRPr="00843241" w:rsidRDefault="0081562C" w:rsidP="0081562C">
      <w:pPr>
        <w:pStyle w:val="Body"/>
        <w:rPr>
          <w:sz w:val="20"/>
        </w:rPr>
      </w:pPr>
      <w:r w:rsidRPr="00843241">
        <w:rPr>
          <w:sz w:val="20"/>
        </w:rPr>
        <w:t xml:space="preserve">Where there is an allegation, it is met with a strong response that includes medical attention (should this be required); a report to police if it involves an allegation of physical or sexual abuse or a client is potentially a victim of a crime; and counselling and support being offered to all parties. </w:t>
      </w:r>
    </w:p>
    <w:p w14:paraId="4046D534" w14:textId="1EEF5CF4" w:rsidR="0081562C" w:rsidRPr="00843241" w:rsidRDefault="0081562C" w:rsidP="0081562C">
      <w:pPr>
        <w:pStyle w:val="Body"/>
        <w:rPr>
          <w:sz w:val="20"/>
        </w:rPr>
      </w:pPr>
      <w:r w:rsidRPr="00843241">
        <w:rPr>
          <w:sz w:val="20"/>
        </w:rPr>
        <w:t xml:space="preserve">Each Major Impact (CIMS) is subject to either an investigation or a review led by the service provider. This additional requirement provides a better understanding of how and why incidents occur; how they can be prevented; </w:t>
      </w:r>
      <w:r w:rsidR="00382E95" w:rsidRPr="00843241">
        <w:rPr>
          <w:sz w:val="20"/>
        </w:rPr>
        <w:t>and</w:t>
      </w:r>
      <w:r w:rsidRPr="00843241">
        <w:rPr>
          <w:sz w:val="20"/>
        </w:rPr>
        <w:t xml:space="preserve"> how the department and service providers can respond to, and learn from, these incidents. Each Category one incident (CIA) is also reviewed and subject to a quality of support review for specific incident types.</w:t>
      </w:r>
    </w:p>
    <w:p w14:paraId="786E13F7" w14:textId="77777777" w:rsidR="0081562C" w:rsidRPr="0081562C" w:rsidRDefault="0081562C" w:rsidP="0081562C">
      <w:pPr>
        <w:pStyle w:val="Heading4"/>
        <w:rPr>
          <w:b w:val="0"/>
          <w:bCs w:val="0"/>
        </w:rPr>
      </w:pPr>
      <w:bookmarkStart w:id="9" w:name="_Toc522106482"/>
      <w:bookmarkStart w:id="10" w:name="_Toc523132388"/>
      <w:r w:rsidRPr="0081562C">
        <w:rPr>
          <w:b w:val="0"/>
          <w:bCs w:val="0"/>
        </w:rPr>
        <w:lastRenderedPageBreak/>
        <w:t>Incident categories</w:t>
      </w:r>
      <w:bookmarkEnd w:id="9"/>
      <w:bookmarkEnd w:id="10"/>
    </w:p>
    <w:p w14:paraId="3200D009" w14:textId="77777777" w:rsidR="0081562C" w:rsidRPr="00843241" w:rsidRDefault="0081562C" w:rsidP="0081562C">
      <w:pPr>
        <w:pStyle w:val="Body"/>
        <w:rPr>
          <w:sz w:val="20"/>
        </w:rPr>
      </w:pPr>
      <w:r w:rsidRPr="00843241">
        <w:rPr>
          <w:sz w:val="20"/>
        </w:rPr>
        <w:t xml:space="preserve">Category One (CIA) and Major Impact (CIMS) incidents are the most serious incidents. When determining the appropriate category of a client incident in CIA, service providers must consider the severity of the incident outcome, the vulnerability of the client and the client’s pattern and history of behaviour. </w:t>
      </w:r>
    </w:p>
    <w:p w14:paraId="6439B2EC" w14:textId="77777777" w:rsidR="0081562C" w:rsidRPr="00843241" w:rsidRDefault="0081562C" w:rsidP="0081562C">
      <w:pPr>
        <w:pStyle w:val="Body"/>
        <w:rPr>
          <w:sz w:val="20"/>
        </w:rPr>
      </w:pPr>
      <w:r w:rsidRPr="00843241">
        <w:rPr>
          <w:sz w:val="20"/>
        </w:rPr>
        <w:t xml:space="preserve">With CIMS, service providers are required to solely focus on the impact (level of harm) to the client rather than the incident itself, including the extent to which a client has experienced physical, emotional and/or psychological harm and the potential risk of further harm.  Due to these changes, and the definitional changes to some incident types in the new CIMS, incidents reported in CIA and CIMS are not directly comparable and must be reported separately.  </w:t>
      </w:r>
    </w:p>
    <w:p w14:paraId="1F9EB42F" w14:textId="3B962C9B" w:rsidR="00C25D70" w:rsidRPr="00E00ED8" w:rsidRDefault="009F07D1" w:rsidP="00AE7C35">
      <w:pPr>
        <w:pStyle w:val="Tablecaption"/>
        <w:rPr>
          <w:rFonts w:eastAsia="Calibri"/>
        </w:rPr>
      </w:pPr>
      <w:r>
        <w:t xml:space="preserve">Table </w:t>
      </w:r>
      <w:r>
        <w:fldChar w:fldCharType="begin"/>
      </w:r>
      <w:r>
        <w:instrText>SEQ Table \* ARABIC</w:instrText>
      </w:r>
      <w:r>
        <w:fldChar w:fldCharType="separate"/>
      </w:r>
      <w:r>
        <w:rPr>
          <w:noProof/>
        </w:rPr>
        <w:t>4</w:t>
      </w:r>
      <w:r>
        <w:fldChar w:fldCharType="end"/>
      </w:r>
      <w:r>
        <w:t xml:space="preserve">: </w:t>
      </w:r>
      <w:r w:rsidR="00C25D70" w:rsidRPr="00E00ED8">
        <w:t>CIA – Category One incidents</w:t>
      </w:r>
      <w:r w:rsidR="003E435C">
        <w:t>,</w:t>
      </w:r>
      <w:r w:rsidR="00AE7C35">
        <w:t xml:space="preserve"> 2020-21</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281"/>
      </w:tblGrid>
      <w:tr w:rsidR="00C25D70" w:rsidRPr="0081562C" w14:paraId="6B93D807" w14:textId="77777777" w:rsidTr="009D3803">
        <w:trPr>
          <w:trHeight w:val="450"/>
        </w:trPr>
        <w:tc>
          <w:tcPr>
            <w:tcW w:w="2547" w:type="dxa"/>
            <w:noWrap/>
            <w:hideMark/>
          </w:tcPr>
          <w:p w14:paraId="1F5F41E5" w14:textId="77777777" w:rsidR="00C25D70" w:rsidRPr="0081562C" w:rsidRDefault="00C25D70" w:rsidP="00C236C1">
            <w:pPr>
              <w:pStyle w:val="Tablecolhead"/>
            </w:pPr>
            <w:r w:rsidRPr="0081562C">
              <w:t>Client death</w:t>
            </w:r>
          </w:p>
        </w:tc>
        <w:tc>
          <w:tcPr>
            <w:tcW w:w="1281" w:type="dxa"/>
            <w:noWrap/>
          </w:tcPr>
          <w:p w14:paraId="246FAEDB" w14:textId="3D411923" w:rsidR="00C25D70" w:rsidRPr="0081562C" w:rsidRDefault="00732F16" w:rsidP="0081562C">
            <w:pPr>
              <w:pStyle w:val="Tabletext"/>
              <w:jc w:val="right"/>
            </w:pPr>
            <w:r w:rsidRPr="0081562C">
              <w:t>39</w:t>
            </w:r>
          </w:p>
        </w:tc>
      </w:tr>
      <w:tr w:rsidR="00C25D70" w:rsidRPr="0081562C" w14:paraId="6AFA091D" w14:textId="77777777" w:rsidTr="009D3803">
        <w:trPr>
          <w:trHeight w:val="450"/>
        </w:trPr>
        <w:tc>
          <w:tcPr>
            <w:tcW w:w="2547" w:type="dxa"/>
            <w:noWrap/>
            <w:hideMark/>
          </w:tcPr>
          <w:p w14:paraId="21D387E5" w14:textId="77777777" w:rsidR="00C25D70" w:rsidRPr="0081562C" w:rsidRDefault="00C25D70" w:rsidP="00C236C1">
            <w:pPr>
              <w:pStyle w:val="Tablecolhead"/>
            </w:pPr>
            <w:r w:rsidRPr="0081562C">
              <w:t>Assault</w:t>
            </w:r>
          </w:p>
        </w:tc>
        <w:tc>
          <w:tcPr>
            <w:tcW w:w="1281" w:type="dxa"/>
            <w:noWrap/>
          </w:tcPr>
          <w:p w14:paraId="4B111FB4" w14:textId="6E3B393D" w:rsidR="00C25D70" w:rsidRPr="0081562C" w:rsidRDefault="00732F16" w:rsidP="0081562C">
            <w:pPr>
              <w:pStyle w:val="Tabletext"/>
              <w:jc w:val="right"/>
            </w:pPr>
            <w:r w:rsidRPr="0081562C">
              <w:t>96</w:t>
            </w:r>
          </w:p>
        </w:tc>
      </w:tr>
      <w:tr w:rsidR="00C25D70" w:rsidRPr="0081562C" w14:paraId="23E6CF24" w14:textId="77777777" w:rsidTr="009D3803">
        <w:trPr>
          <w:trHeight w:val="450"/>
        </w:trPr>
        <w:tc>
          <w:tcPr>
            <w:tcW w:w="2547" w:type="dxa"/>
            <w:noWrap/>
            <w:hideMark/>
          </w:tcPr>
          <w:p w14:paraId="153C9DBE" w14:textId="77777777" w:rsidR="00C25D70" w:rsidRPr="0081562C" w:rsidRDefault="00C25D70" w:rsidP="00C236C1">
            <w:pPr>
              <w:pStyle w:val="Tablecolhead"/>
            </w:pPr>
            <w:r w:rsidRPr="0081562C">
              <w:t>Behaviour</w:t>
            </w:r>
          </w:p>
        </w:tc>
        <w:tc>
          <w:tcPr>
            <w:tcW w:w="1281" w:type="dxa"/>
            <w:noWrap/>
          </w:tcPr>
          <w:p w14:paraId="517C2D68" w14:textId="06DC2481" w:rsidR="00C25D70" w:rsidRPr="0081562C" w:rsidRDefault="00732F16" w:rsidP="0081562C">
            <w:pPr>
              <w:pStyle w:val="Tabletext"/>
              <w:jc w:val="right"/>
            </w:pPr>
            <w:r w:rsidRPr="0081562C">
              <w:t>22</w:t>
            </w:r>
          </w:p>
        </w:tc>
      </w:tr>
      <w:tr w:rsidR="00C25D70" w:rsidRPr="0081562C" w14:paraId="4467A059" w14:textId="77777777" w:rsidTr="009D3803">
        <w:trPr>
          <w:trHeight w:val="450"/>
        </w:trPr>
        <w:tc>
          <w:tcPr>
            <w:tcW w:w="2547" w:type="dxa"/>
            <w:noWrap/>
            <w:hideMark/>
          </w:tcPr>
          <w:p w14:paraId="68A5622E" w14:textId="77777777" w:rsidR="00C25D70" w:rsidRPr="0081562C" w:rsidRDefault="00C25D70" w:rsidP="00C236C1">
            <w:pPr>
              <w:pStyle w:val="Tablecolhead"/>
            </w:pPr>
            <w:r w:rsidRPr="0081562C">
              <w:t>Other incident types*</w:t>
            </w:r>
          </w:p>
        </w:tc>
        <w:tc>
          <w:tcPr>
            <w:tcW w:w="1281" w:type="dxa"/>
            <w:noWrap/>
          </w:tcPr>
          <w:p w14:paraId="2BB47134" w14:textId="06910CDF" w:rsidR="00C25D70" w:rsidRPr="0081562C" w:rsidRDefault="00732F16" w:rsidP="0081562C">
            <w:pPr>
              <w:pStyle w:val="Tabletext"/>
              <w:jc w:val="right"/>
            </w:pPr>
            <w:r w:rsidRPr="0081562C">
              <w:t>723</w:t>
            </w:r>
          </w:p>
        </w:tc>
      </w:tr>
    </w:tbl>
    <w:p w14:paraId="4449D7AD" w14:textId="1362B34F" w:rsidR="00C25D70" w:rsidRDefault="009F07D1" w:rsidP="00AE7C35">
      <w:pPr>
        <w:pStyle w:val="Tablecaption"/>
      </w:pPr>
      <w:r>
        <w:t xml:space="preserve">Table </w:t>
      </w:r>
      <w:r>
        <w:fldChar w:fldCharType="begin"/>
      </w:r>
      <w:r>
        <w:instrText>SEQ Table \* ARABIC</w:instrText>
      </w:r>
      <w:r>
        <w:fldChar w:fldCharType="separate"/>
      </w:r>
      <w:r>
        <w:t>5</w:t>
      </w:r>
      <w:r>
        <w:fldChar w:fldCharType="end"/>
      </w:r>
      <w:r>
        <w:t xml:space="preserve">: </w:t>
      </w:r>
      <w:r w:rsidR="005B5FAB">
        <w:t>Other State</w:t>
      </w:r>
      <w:r w:rsidR="00E528F0">
        <w:t>-</w:t>
      </w:r>
      <w:r w:rsidR="005B5FAB">
        <w:t xml:space="preserve">funded </w:t>
      </w:r>
      <w:r w:rsidR="00C25D70" w:rsidRPr="00AE7C35">
        <w:t>Disability Services - Major Impact incidents (CIMS)</w:t>
      </w:r>
      <w:r w:rsidR="003E435C">
        <w:t>, 2020-21</w:t>
      </w:r>
    </w:p>
    <w:tbl>
      <w:tblPr>
        <w:tblW w:w="3828" w:type="dxa"/>
        <w:tblInd w:w="142" w:type="dxa"/>
        <w:tblLook w:val="04A0" w:firstRow="1" w:lastRow="0" w:firstColumn="1" w:lastColumn="0" w:noHBand="0" w:noVBand="1"/>
      </w:tblPr>
      <w:tblGrid>
        <w:gridCol w:w="2542"/>
        <w:gridCol w:w="1286"/>
      </w:tblGrid>
      <w:tr w:rsidR="00C25D70" w:rsidRPr="0081562C" w14:paraId="33325E88" w14:textId="77777777" w:rsidTr="009D3803">
        <w:trPr>
          <w:trHeight w:val="270"/>
        </w:trPr>
        <w:tc>
          <w:tcPr>
            <w:tcW w:w="2542" w:type="dxa"/>
            <w:shd w:val="clear" w:color="auto" w:fill="auto"/>
            <w:noWrap/>
            <w:vAlign w:val="center"/>
            <w:hideMark/>
          </w:tcPr>
          <w:p w14:paraId="6B77C6AA" w14:textId="77777777" w:rsidR="00C25D70" w:rsidRPr="0081562C" w:rsidRDefault="00C25D70" w:rsidP="00C236C1">
            <w:pPr>
              <w:pStyle w:val="Tablecolhead"/>
            </w:pPr>
            <w:r w:rsidRPr="0081562C">
              <w:t>Client death</w:t>
            </w:r>
          </w:p>
        </w:tc>
        <w:tc>
          <w:tcPr>
            <w:tcW w:w="1286" w:type="dxa"/>
            <w:shd w:val="clear" w:color="auto" w:fill="auto"/>
            <w:noWrap/>
            <w:vAlign w:val="center"/>
          </w:tcPr>
          <w:p w14:paraId="6D0D52E7" w14:textId="05A769DB" w:rsidR="00C25D70" w:rsidRPr="0081562C" w:rsidRDefault="00732F16" w:rsidP="0081562C">
            <w:pPr>
              <w:pStyle w:val="Tabletext"/>
              <w:jc w:val="right"/>
            </w:pPr>
            <w:r w:rsidRPr="0081562C">
              <w:t>0</w:t>
            </w:r>
          </w:p>
        </w:tc>
      </w:tr>
      <w:tr w:rsidR="00C25D70" w:rsidRPr="0081562C" w14:paraId="452CCC24" w14:textId="77777777" w:rsidTr="009D3803">
        <w:trPr>
          <w:trHeight w:val="315"/>
        </w:trPr>
        <w:tc>
          <w:tcPr>
            <w:tcW w:w="2542" w:type="dxa"/>
            <w:shd w:val="clear" w:color="auto" w:fill="auto"/>
            <w:noWrap/>
            <w:vAlign w:val="center"/>
            <w:hideMark/>
          </w:tcPr>
          <w:p w14:paraId="2E614F90" w14:textId="4A902EB0" w:rsidR="00C25D70" w:rsidRPr="0081562C" w:rsidRDefault="00C25D70" w:rsidP="00C236C1">
            <w:pPr>
              <w:pStyle w:val="Tablecolhead"/>
            </w:pPr>
            <w:r w:rsidRPr="0081562C">
              <w:t>Abuse</w:t>
            </w:r>
          </w:p>
        </w:tc>
        <w:tc>
          <w:tcPr>
            <w:tcW w:w="1286" w:type="dxa"/>
            <w:shd w:val="clear" w:color="auto" w:fill="auto"/>
            <w:noWrap/>
            <w:vAlign w:val="center"/>
          </w:tcPr>
          <w:p w14:paraId="66361E14" w14:textId="1EF52E4B" w:rsidR="00C25D70" w:rsidRPr="0081562C" w:rsidRDefault="00732F16" w:rsidP="0081562C">
            <w:pPr>
              <w:pStyle w:val="Tabletext"/>
              <w:jc w:val="right"/>
            </w:pPr>
            <w:r w:rsidRPr="0081562C">
              <w:t>11</w:t>
            </w:r>
          </w:p>
        </w:tc>
      </w:tr>
      <w:tr w:rsidR="00C25D70" w:rsidRPr="0081562C" w14:paraId="2A799269" w14:textId="77777777" w:rsidTr="009D3803">
        <w:trPr>
          <w:trHeight w:val="270"/>
        </w:trPr>
        <w:tc>
          <w:tcPr>
            <w:tcW w:w="2542" w:type="dxa"/>
            <w:shd w:val="clear" w:color="auto" w:fill="auto"/>
            <w:noWrap/>
            <w:vAlign w:val="center"/>
            <w:hideMark/>
          </w:tcPr>
          <w:p w14:paraId="62A069FA" w14:textId="77777777" w:rsidR="00C25D70" w:rsidRPr="0081562C" w:rsidRDefault="00C25D70" w:rsidP="00C236C1">
            <w:pPr>
              <w:pStyle w:val="Tablecolhead"/>
            </w:pPr>
            <w:r w:rsidRPr="0081562C">
              <w:t>Behaviour</w:t>
            </w:r>
          </w:p>
        </w:tc>
        <w:tc>
          <w:tcPr>
            <w:tcW w:w="1286" w:type="dxa"/>
            <w:shd w:val="clear" w:color="auto" w:fill="auto"/>
            <w:noWrap/>
            <w:vAlign w:val="center"/>
          </w:tcPr>
          <w:p w14:paraId="3F0E810C" w14:textId="3EFDBB08" w:rsidR="00C25D70" w:rsidRPr="0081562C" w:rsidRDefault="00732F16" w:rsidP="0081562C">
            <w:pPr>
              <w:pStyle w:val="Tabletext"/>
              <w:jc w:val="right"/>
            </w:pPr>
            <w:r w:rsidRPr="0081562C">
              <w:t>1</w:t>
            </w:r>
          </w:p>
        </w:tc>
      </w:tr>
      <w:tr w:rsidR="00C25D70" w:rsidRPr="0081562C" w14:paraId="3D993CC2" w14:textId="77777777" w:rsidTr="009D3803">
        <w:trPr>
          <w:trHeight w:val="270"/>
        </w:trPr>
        <w:tc>
          <w:tcPr>
            <w:tcW w:w="2542" w:type="dxa"/>
            <w:shd w:val="clear" w:color="auto" w:fill="auto"/>
            <w:noWrap/>
            <w:vAlign w:val="center"/>
            <w:hideMark/>
          </w:tcPr>
          <w:p w14:paraId="14F292F3" w14:textId="77777777" w:rsidR="00C25D70" w:rsidRPr="0081562C" w:rsidRDefault="00C25D70" w:rsidP="00C236C1">
            <w:pPr>
              <w:pStyle w:val="Tablecolhead"/>
            </w:pPr>
            <w:r w:rsidRPr="0081562C">
              <w:t>Other incident types*</w:t>
            </w:r>
          </w:p>
        </w:tc>
        <w:tc>
          <w:tcPr>
            <w:tcW w:w="1286" w:type="dxa"/>
            <w:shd w:val="clear" w:color="auto" w:fill="auto"/>
            <w:noWrap/>
            <w:vAlign w:val="center"/>
          </w:tcPr>
          <w:p w14:paraId="38FC2EB9" w14:textId="501699CB" w:rsidR="00C25D70" w:rsidRPr="0081562C" w:rsidRDefault="00732F16" w:rsidP="0081562C">
            <w:pPr>
              <w:pStyle w:val="Tabletext"/>
              <w:jc w:val="right"/>
            </w:pPr>
            <w:r w:rsidRPr="0081562C">
              <w:t>10</w:t>
            </w:r>
          </w:p>
        </w:tc>
      </w:tr>
    </w:tbl>
    <w:p w14:paraId="40BFF0AC" w14:textId="774FA1F5" w:rsidR="00AC7223" w:rsidRPr="004A0BC7" w:rsidRDefault="004A0BC7" w:rsidP="004A0BC7">
      <w:pPr>
        <w:pStyle w:val="FootnoteText"/>
        <w:rPr>
          <w:i/>
          <w:iCs/>
          <w:sz w:val="16"/>
          <w:szCs w:val="14"/>
          <w:lang w:eastAsia="en-AU"/>
        </w:rPr>
      </w:pPr>
      <w:r w:rsidRPr="004A0BC7">
        <w:rPr>
          <w:i/>
          <w:iCs/>
          <w:sz w:val="16"/>
          <w:szCs w:val="14"/>
          <w:lang w:eastAsia="en-AU"/>
        </w:rPr>
        <w:t>*</w:t>
      </w:r>
      <w:r w:rsidR="00AC7223" w:rsidRPr="004A0BC7">
        <w:rPr>
          <w:i/>
          <w:iCs/>
          <w:sz w:val="16"/>
          <w:szCs w:val="14"/>
          <w:lang w:eastAsia="en-AU"/>
        </w:rPr>
        <w:t>CIMs and CIA 'Other incident types' are not comparable</w:t>
      </w:r>
    </w:p>
    <w:p w14:paraId="49F5E342" w14:textId="77777777" w:rsidR="00804632" w:rsidRPr="00F32368" w:rsidRDefault="00804632" w:rsidP="00804632">
      <w:pPr>
        <w:pStyle w:val="Body"/>
      </w:pPr>
    </w:p>
    <w:tbl>
      <w:tblPr>
        <w:tblStyle w:val="TableGrid"/>
        <w:tblW w:w="0" w:type="auto"/>
        <w:tblCellMar>
          <w:bottom w:w="108" w:type="dxa"/>
        </w:tblCellMar>
        <w:tblLook w:val="0600" w:firstRow="0" w:lastRow="0" w:firstColumn="0" w:lastColumn="0" w:noHBand="1" w:noVBand="1"/>
      </w:tblPr>
      <w:tblGrid>
        <w:gridCol w:w="10194"/>
      </w:tblGrid>
      <w:tr w:rsidR="00804632" w14:paraId="18EB7714" w14:textId="77777777" w:rsidTr="00C74AA4">
        <w:tc>
          <w:tcPr>
            <w:tcW w:w="10194" w:type="dxa"/>
          </w:tcPr>
          <w:p w14:paraId="791C3FC1" w14:textId="77777777" w:rsidR="00804632" w:rsidRDefault="00804632" w:rsidP="00C74AA4">
            <w:pPr>
              <w:pStyle w:val="DHHSbody"/>
              <w:rPr>
                <w:sz w:val="24"/>
                <w:szCs w:val="19"/>
              </w:rPr>
            </w:pPr>
            <w:r>
              <w:rPr>
                <w:sz w:val="24"/>
                <w:szCs w:val="19"/>
              </w:rPr>
              <w:t xml:space="preserve">To receive this publication in an accessible format email </w:t>
            </w:r>
            <w:r w:rsidRPr="00265998">
              <w:rPr>
                <w:color w:val="4F81BD" w:themeColor="accent1"/>
                <w:sz w:val="24"/>
                <w:szCs w:val="19"/>
              </w:rPr>
              <w:t>Operational Performance and Quality Group</w:t>
            </w:r>
            <w:r>
              <w:rPr>
                <w:sz w:val="24"/>
                <w:szCs w:val="19"/>
              </w:rPr>
              <w:t xml:space="preserve"> &lt;opq.data@dffh.vic.gov.au&gt;   </w:t>
            </w:r>
          </w:p>
          <w:p w14:paraId="4BC6B4B7" w14:textId="77777777" w:rsidR="00804632" w:rsidRPr="0055119B" w:rsidRDefault="00804632" w:rsidP="00C74AA4">
            <w:pPr>
              <w:pStyle w:val="Imprint"/>
            </w:pPr>
            <w:r w:rsidRPr="0055119B">
              <w:t>Authorised and published by the Victorian Government, 1 Treasury Place, Melbourne.</w:t>
            </w:r>
            <w:r>
              <w:t xml:space="preserve"> </w:t>
            </w:r>
          </w:p>
          <w:p w14:paraId="210FB603" w14:textId="77777777" w:rsidR="00804632" w:rsidRDefault="00804632" w:rsidP="00C74AA4">
            <w:pPr>
              <w:pStyle w:val="Imprint"/>
            </w:pPr>
            <w:r w:rsidRPr="0055119B">
              <w:t xml:space="preserve">© State of Victoria, Australia, Department </w:t>
            </w:r>
            <w:r w:rsidRPr="001B058F">
              <w:t xml:space="preserve">of </w:t>
            </w:r>
            <w:r>
              <w:t>Families, Fairness and Housing</w:t>
            </w:r>
            <w:r w:rsidRPr="0055119B">
              <w:t xml:space="preserve">, </w:t>
            </w:r>
            <w:r>
              <w:t>October 2021</w:t>
            </w:r>
          </w:p>
          <w:p w14:paraId="72C64949" w14:textId="77777777" w:rsidR="00804632" w:rsidRPr="0055119B" w:rsidRDefault="00804632" w:rsidP="00C74AA4">
            <w:pPr>
              <w:pStyle w:val="Imprint"/>
            </w:pPr>
            <w:r w:rsidRPr="0055119B">
              <w:t xml:space="preserve">ISBN/ISSN </w:t>
            </w:r>
            <w:r w:rsidRPr="00B34C23">
              <w:t>2208-5416</w:t>
            </w:r>
            <w:r w:rsidRPr="00CE15EC">
              <w:rPr>
                <w:sz w:val="16"/>
                <w:szCs w:val="16"/>
              </w:rPr>
              <w:t xml:space="preserve"> </w:t>
            </w:r>
            <w:r w:rsidRPr="00E33237">
              <w:rPr>
                <w:color w:val="004C97"/>
              </w:rPr>
              <w:t xml:space="preserve"> </w:t>
            </w:r>
            <w:r w:rsidRPr="0055119B">
              <w:t>(online/PDF/Word) or (print)</w:t>
            </w:r>
          </w:p>
          <w:p w14:paraId="3BF65833" w14:textId="77777777" w:rsidR="00804632" w:rsidRPr="00982454" w:rsidRDefault="00804632" w:rsidP="00C74AA4">
            <w:pPr>
              <w:pStyle w:val="DHHSbody"/>
            </w:pPr>
            <w:r>
              <w:t xml:space="preserve">Available at </w:t>
            </w:r>
            <w:hyperlink r:id="rId19" w:history="1">
              <w:r>
                <w:rPr>
                  <w:rStyle w:val="Hyperlink"/>
                </w:rPr>
                <w:t>Annual report - Department of Health and Human Services</w:t>
              </w:r>
            </w:hyperlink>
            <w:r>
              <w:t xml:space="preserve"> &lt;https://www.dhhs.vic.gov.au/publications/annual-report-department-health-and-human-services&gt;</w:t>
            </w:r>
          </w:p>
          <w:p w14:paraId="74A27EE8" w14:textId="77777777" w:rsidR="00804632" w:rsidRDefault="00804632" w:rsidP="00C74AA4">
            <w:pPr>
              <w:pStyle w:val="Imprint"/>
            </w:pPr>
          </w:p>
        </w:tc>
      </w:tr>
      <w:bookmarkEnd w:id="6"/>
    </w:tbl>
    <w:p w14:paraId="039425B3" w14:textId="58680A6C" w:rsidR="00162CA9" w:rsidRPr="0012536F" w:rsidRDefault="00162CA9" w:rsidP="0012536F">
      <w:pPr>
        <w:spacing w:after="0" w:line="240" w:lineRule="auto"/>
        <w:rPr>
          <w:rFonts w:eastAsia="Times"/>
        </w:rPr>
      </w:pPr>
    </w:p>
    <w:sectPr w:rsidR="00162CA9" w:rsidRPr="0012536F"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AAED" w14:textId="77777777" w:rsidR="0007476E" w:rsidRDefault="0007476E">
      <w:r>
        <w:separator/>
      </w:r>
    </w:p>
    <w:p w14:paraId="4EC30F74" w14:textId="77777777" w:rsidR="0007476E" w:rsidRDefault="0007476E"/>
  </w:endnote>
  <w:endnote w:type="continuationSeparator" w:id="0">
    <w:p w14:paraId="7B29D05D" w14:textId="77777777" w:rsidR="0007476E" w:rsidRDefault="0007476E">
      <w:r>
        <w:continuationSeparator/>
      </w:r>
    </w:p>
    <w:p w14:paraId="0E2B6EAF" w14:textId="77777777" w:rsidR="0007476E" w:rsidRDefault="0007476E"/>
  </w:endnote>
  <w:endnote w:type="continuationNotice" w:id="1">
    <w:p w14:paraId="00B346C8" w14:textId="77777777" w:rsidR="0007476E" w:rsidRDefault="00074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7C7B" w14:textId="77777777" w:rsidR="00453C81" w:rsidRDefault="00453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E411"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2A7A753B" wp14:editId="36F02E14">
          <wp:simplePos x="539750" y="9290050"/>
          <wp:positionH relativeFrom="page">
            <wp:align>right</wp:align>
          </wp:positionH>
          <wp:positionV relativeFrom="page">
            <wp:align>bottom</wp:align>
          </wp:positionV>
          <wp:extent cx="7560000" cy="1008000"/>
          <wp:effectExtent l="0" t="0" r="3175" b="1905"/>
          <wp:wrapNone/>
          <wp:docPr id="4" name="Picture 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7248058" wp14:editId="0E5C89F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DB63C" w14:textId="52BAC9FE"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24805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AADB63C" w14:textId="52BAC9FE"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ABBC"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F255B9E" wp14:editId="2738672F">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FD1FB3" w14:textId="62E3E957"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255B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8FD1FB3" w14:textId="62E3E957"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202C" w14:textId="77777777" w:rsidR="0007476E" w:rsidRDefault="0007476E" w:rsidP="00207717">
      <w:pPr>
        <w:spacing w:before="120"/>
      </w:pPr>
      <w:r>
        <w:separator/>
      </w:r>
    </w:p>
  </w:footnote>
  <w:footnote w:type="continuationSeparator" w:id="0">
    <w:p w14:paraId="7211A9A0" w14:textId="77777777" w:rsidR="0007476E" w:rsidRDefault="0007476E">
      <w:r>
        <w:continuationSeparator/>
      </w:r>
    </w:p>
    <w:p w14:paraId="2AA5470D" w14:textId="77777777" w:rsidR="0007476E" w:rsidRDefault="0007476E"/>
  </w:footnote>
  <w:footnote w:type="continuationNotice" w:id="1">
    <w:p w14:paraId="1B9E4520" w14:textId="77777777" w:rsidR="0007476E" w:rsidRDefault="00074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187A" w14:textId="77777777" w:rsidR="00453C81" w:rsidRDefault="00453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3B2B"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4740" w14:textId="77777777" w:rsidR="00453C81" w:rsidRDefault="00453C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6DBA" w14:textId="6A0DBC25" w:rsidR="00E261B3" w:rsidRPr="0051568D" w:rsidRDefault="00242378" w:rsidP="009623EA">
    <w:pPr>
      <w:pStyle w:val="Header"/>
    </w:pPr>
    <w:r>
      <w:rPr>
        <w:noProof/>
      </w:rPr>
      <w:drawing>
        <wp:anchor distT="0" distB="0" distL="114300" distR="114300" simplePos="0" relativeHeight="251658243" behindDoc="1" locked="1" layoutInCell="1" allowOverlap="1" wp14:anchorId="39DB450D" wp14:editId="2BF4C86F">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9623EA">
      <w:rPr>
        <w:noProof/>
      </w:rPr>
      <w:t>Department-managed Disability Services, Additional Service Delivery Data 2020-21</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70"/>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0A9"/>
    <w:rsid w:val="00046B68"/>
    <w:rsid w:val="000527DD"/>
    <w:rsid w:val="000578B2"/>
    <w:rsid w:val="00060959"/>
    <w:rsid w:val="00060C8F"/>
    <w:rsid w:val="0006298A"/>
    <w:rsid w:val="000663CD"/>
    <w:rsid w:val="0007293A"/>
    <w:rsid w:val="000733FE"/>
    <w:rsid w:val="00074219"/>
    <w:rsid w:val="0007476E"/>
    <w:rsid w:val="00074ED5"/>
    <w:rsid w:val="00080F7E"/>
    <w:rsid w:val="0008508E"/>
    <w:rsid w:val="00086557"/>
    <w:rsid w:val="00087951"/>
    <w:rsid w:val="0009113B"/>
    <w:rsid w:val="00093402"/>
    <w:rsid w:val="00094DA3"/>
    <w:rsid w:val="00096CD1"/>
    <w:rsid w:val="000A012C"/>
    <w:rsid w:val="000A0EB9"/>
    <w:rsid w:val="000A186C"/>
    <w:rsid w:val="000A1EA4"/>
    <w:rsid w:val="000A2476"/>
    <w:rsid w:val="000A5441"/>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81D"/>
    <w:rsid w:val="0010392D"/>
    <w:rsid w:val="0010447F"/>
    <w:rsid w:val="00104FE3"/>
    <w:rsid w:val="0010714F"/>
    <w:rsid w:val="001120C5"/>
    <w:rsid w:val="00120BD3"/>
    <w:rsid w:val="00122FEA"/>
    <w:rsid w:val="001232BD"/>
    <w:rsid w:val="00124ED5"/>
    <w:rsid w:val="0012536F"/>
    <w:rsid w:val="001276FA"/>
    <w:rsid w:val="001447B3"/>
    <w:rsid w:val="00145767"/>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87CBA"/>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227"/>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3BDA"/>
    <w:rsid w:val="00254F58"/>
    <w:rsid w:val="002620BC"/>
    <w:rsid w:val="00262802"/>
    <w:rsid w:val="00263A90"/>
    <w:rsid w:val="0026408B"/>
    <w:rsid w:val="00267C3E"/>
    <w:rsid w:val="002709BB"/>
    <w:rsid w:val="0027131C"/>
    <w:rsid w:val="00273BAC"/>
    <w:rsid w:val="002763B3"/>
    <w:rsid w:val="002802E3"/>
    <w:rsid w:val="0028213D"/>
    <w:rsid w:val="002821AA"/>
    <w:rsid w:val="002862F1"/>
    <w:rsid w:val="0028656D"/>
    <w:rsid w:val="00291373"/>
    <w:rsid w:val="00292DE0"/>
    <w:rsid w:val="00294F20"/>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DBE"/>
    <w:rsid w:val="00316F27"/>
    <w:rsid w:val="00317030"/>
    <w:rsid w:val="003214F1"/>
    <w:rsid w:val="00322E4B"/>
    <w:rsid w:val="00327870"/>
    <w:rsid w:val="0033259D"/>
    <w:rsid w:val="003333D2"/>
    <w:rsid w:val="00336F60"/>
    <w:rsid w:val="00337339"/>
    <w:rsid w:val="003406C6"/>
    <w:rsid w:val="003418CC"/>
    <w:rsid w:val="003459BD"/>
    <w:rsid w:val="00346381"/>
    <w:rsid w:val="00350D38"/>
    <w:rsid w:val="00351B36"/>
    <w:rsid w:val="00357B4E"/>
    <w:rsid w:val="00367085"/>
    <w:rsid w:val="003716FD"/>
    <w:rsid w:val="0037204B"/>
    <w:rsid w:val="003744CF"/>
    <w:rsid w:val="00374717"/>
    <w:rsid w:val="0037676C"/>
    <w:rsid w:val="00381043"/>
    <w:rsid w:val="003829E5"/>
    <w:rsid w:val="00382E95"/>
    <w:rsid w:val="00384FC1"/>
    <w:rsid w:val="00386109"/>
    <w:rsid w:val="00386944"/>
    <w:rsid w:val="00393AFD"/>
    <w:rsid w:val="003956CC"/>
    <w:rsid w:val="00395C9A"/>
    <w:rsid w:val="003A04E1"/>
    <w:rsid w:val="003A0853"/>
    <w:rsid w:val="003A5389"/>
    <w:rsid w:val="003A6B67"/>
    <w:rsid w:val="003B13B6"/>
    <w:rsid w:val="003B14C3"/>
    <w:rsid w:val="003B15E6"/>
    <w:rsid w:val="003B1BDC"/>
    <w:rsid w:val="003B408A"/>
    <w:rsid w:val="003C08A2"/>
    <w:rsid w:val="003C0EB0"/>
    <w:rsid w:val="003C2045"/>
    <w:rsid w:val="003C43A1"/>
    <w:rsid w:val="003C4FC0"/>
    <w:rsid w:val="003C55F4"/>
    <w:rsid w:val="003C7897"/>
    <w:rsid w:val="003C7A3F"/>
    <w:rsid w:val="003D2766"/>
    <w:rsid w:val="003D2A74"/>
    <w:rsid w:val="003D3E8F"/>
    <w:rsid w:val="003D6475"/>
    <w:rsid w:val="003D6EE6"/>
    <w:rsid w:val="003E375C"/>
    <w:rsid w:val="003E4086"/>
    <w:rsid w:val="003E435C"/>
    <w:rsid w:val="003E639E"/>
    <w:rsid w:val="003E71E5"/>
    <w:rsid w:val="003F0445"/>
    <w:rsid w:val="003F0CF0"/>
    <w:rsid w:val="003F14B1"/>
    <w:rsid w:val="003F2B20"/>
    <w:rsid w:val="003F3289"/>
    <w:rsid w:val="003F3C62"/>
    <w:rsid w:val="003F5CB9"/>
    <w:rsid w:val="004013C7"/>
    <w:rsid w:val="00401FCF"/>
    <w:rsid w:val="0040502C"/>
    <w:rsid w:val="00406285"/>
    <w:rsid w:val="0040745E"/>
    <w:rsid w:val="004077E4"/>
    <w:rsid w:val="004148F9"/>
    <w:rsid w:val="0042084E"/>
    <w:rsid w:val="00421EEF"/>
    <w:rsid w:val="00424D65"/>
    <w:rsid w:val="00430393"/>
    <w:rsid w:val="00431806"/>
    <w:rsid w:val="00437AC5"/>
    <w:rsid w:val="0044036B"/>
    <w:rsid w:val="00442C6C"/>
    <w:rsid w:val="00443770"/>
    <w:rsid w:val="00443CBE"/>
    <w:rsid w:val="00443E8A"/>
    <w:rsid w:val="004441BC"/>
    <w:rsid w:val="004468B4"/>
    <w:rsid w:val="0045230A"/>
    <w:rsid w:val="00452CFA"/>
    <w:rsid w:val="00453C81"/>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0BC7"/>
    <w:rsid w:val="004A160D"/>
    <w:rsid w:val="004A3E81"/>
    <w:rsid w:val="004A4195"/>
    <w:rsid w:val="004A5C62"/>
    <w:rsid w:val="004A5CE5"/>
    <w:rsid w:val="004A6EF0"/>
    <w:rsid w:val="004A707D"/>
    <w:rsid w:val="004B4185"/>
    <w:rsid w:val="004B56D5"/>
    <w:rsid w:val="004C5541"/>
    <w:rsid w:val="004C6EEE"/>
    <w:rsid w:val="004C702B"/>
    <w:rsid w:val="004D0033"/>
    <w:rsid w:val="004D016B"/>
    <w:rsid w:val="004D1B22"/>
    <w:rsid w:val="004D23CC"/>
    <w:rsid w:val="004D36F2"/>
    <w:rsid w:val="004D540F"/>
    <w:rsid w:val="004E1106"/>
    <w:rsid w:val="004E138F"/>
    <w:rsid w:val="004E4649"/>
    <w:rsid w:val="004E5C2B"/>
    <w:rsid w:val="004F00DD"/>
    <w:rsid w:val="004F2133"/>
    <w:rsid w:val="004F5398"/>
    <w:rsid w:val="004F55F1"/>
    <w:rsid w:val="004F6936"/>
    <w:rsid w:val="004F7B35"/>
    <w:rsid w:val="00503DC6"/>
    <w:rsid w:val="00504F16"/>
    <w:rsid w:val="00506F5D"/>
    <w:rsid w:val="00510C37"/>
    <w:rsid w:val="005126D0"/>
    <w:rsid w:val="00514667"/>
    <w:rsid w:val="0051568D"/>
    <w:rsid w:val="005233DF"/>
    <w:rsid w:val="00526AC7"/>
    <w:rsid w:val="00526C15"/>
    <w:rsid w:val="00536499"/>
    <w:rsid w:val="00542A03"/>
    <w:rsid w:val="00543903"/>
    <w:rsid w:val="00543F11"/>
    <w:rsid w:val="00546305"/>
    <w:rsid w:val="00547A95"/>
    <w:rsid w:val="0055119B"/>
    <w:rsid w:val="00556ECA"/>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5FAB"/>
    <w:rsid w:val="005B7A63"/>
    <w:rsid w:val="005C0955"/>
    <w:rsid w:val="005C49DA"/>
    <w:rsid w:val="005C50F3"/>
    <w:rsid w:val="005C54B5"/>
    <w:rsid w:val="005C5D80"/>
    <w:rsid w:val="005C5D91"/>
    <w:rsid w:val="005D07B8"/>
    <w:rsid w:val="005D6597"/>
    <w:rsid w:val="005D65D4"/>
    <w:rsid w:val="005E14E7"/>
    <w:rsid w:val="005E26A3"/>
    <w:rsid w:val="005E2ECB"/>
    <w:rsid w:val="005E447E"/>
    <w:rsid w:val="005E4FD1"/>
    <w:rsid w:val="005E616E"/>
    <w:rsid w:val="005F0775"/>
    <w:rsid w:val="005F0CF5"/>
    <w:rsid w:val="005F21EB"/>
    <w:rsid w:val="005F64CF"/>
    <w:rsid w:val="006041AD"/>
    <w:rsid w:val="00605908"/>
    <w:rsid w:val="00607850"/>
    <w:rsid w:val="00610D7C"/>
    <w:rsid w:val="0061295B"/>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29BB"/>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334D"/>
    <w:rsid w:val="00677574"/>
    <w:rsid w:val="00683878"/>
    <w:rsid w:val="0068454C"/>
    <w:rsid w:val="00691B62"/>
    <w:rsid w:val="00693223"/>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4FF1"/>
    <w:rsid w:val="006F0330"/>
    <w:rsid w:val="006F1FDC"/>
    <w:rsid w:val="006F6B8C"/>
    <w:rsid w:val="007013EF"/>
    <w:rsid w:val="007055BD"/>
    <w:rsid w:val="007173CA"/>
    <w:rsid w:val="007216AA"/>
    <w:rsid w:val="00721AB5"/>
    <w:rsid w:val="00721CFB"/>
    <w:rsid w:val="00721DEF"/>
    <w:rsid w:val="00724A43"/>
    <w:rsid w:val="007273AC"/>
    <w:rsid w:val="00731AD4"/>
    <w:rsid w:val="00732F16"/>
    <w:rsid w:val="007346E4"/>
    <w:rsid w:val="00736D89"/>
    <w:rsid w:val="00740F22"/>
    <w:rsid w:val="00741CF0"/>
    <w:rsid w:val="00741F1A"/>
    <w:rsid w:val="00743A2C"/>
    <w:rsid w:val="007447DA"/>
    <w:rsid w:val="007450F8"/>
    <w:rsid w:val="0074696E"/>
    <w:rsid w:val="00750135"/>
    <w:rsid w:val="00750EC2"/>
    <w:rsid w:val="00752B28"/>
    <w:rsid w:val="007541A9"/>
    <w:rsid w:val="00754E36"/>
    <w:rsid w:val="007577B2"/>
    <w:rsid w:val="00763139"/>
    <w:rsid w:val="00770F37"/>
    <w:rsid w:val="007711A0"/>
    <w:rsid w:val="00772D5E"/>
    <w:rsid w:val="0077463E"/>
    <w:rsid w:val="00776928"/>
    <w:rsid w:val="00776D86"/>
    <w:rsid w:val="00776E0F"/>
    <w:rsid w:val="007774B1"/>
    <w:rsid w:val="00777BE1"/>
    <w:rsid w:val="007833D8"/>
    <w:rsid w:val="00784D2E"/>
    <w:rsid w:val="00785677"/>
    <w:rsid w:val="00786F16"/>
    <w:rsid w:val="00791BD7"/>
    <w:rsid w:val="007933F7"/>
    <w:rsid w:val="00796E20"/>
    <w:rsid w:val="00797C32"/>
    <w:rsid w:val="007A11E8"/>
    <w:rsid w:val="007A7FA0"/>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399D"/>
    <w:rsid w:val="007F546C"/>
    <w:rsid w:val="007F625F"/>
    <w:rsid w:val="007F665E"/>
    <w:rsid w:val="00800412"/>
    <w:rsid w:val="00804632"/>
    <w:rsid w:val="0080587B"/>
    <w:rsid w:val="00806468"/>
    <w:rsid w:val="008119CA"/>
    <w:rsid w:val="00812F8D"/>
    <w:rsid w:val="008130C4"/>
    <w:rsid w:val="008155F0"/>
    <w:rsid w:val="0081562C"/>
    <w:rsid w:val="00816735"/>
    <w:rsid w:val="00816846"/>
    <w:rsid w:val="00820141"/>
    <w:rsid w:val="00820E0C"/>
    <w:rsid w:val="00823275"/>
    <w:rsid w:val="0082366F"/>
    <w:rsid w:val="008338A2"/>
    <w:rsid w:val="00841AA9"/>
    <w:rsid w:val="00843241"/>
    <w:rsid w:val="008474FE"/>
    <w:rsid w:val="00850905"/>
    <w:rsid w:val="0085232E"/>
    <w:rsid w:val="00853EE4"/>
    <w:rsid w:val="00855535"/>
    <w:rsid w:val="00857C5A"/>
    <w:rsid w:val="0086255E"/>
    <w:rsid w:val="008633F0"/>
    <w:rsid w:val="00867D9D"/>
    <w:rsid w:val="0087192E"/>
    <w:rsid w:val="00872C54"/>
    <w:rsid w:val="00872E0A"/>
    <w:rsid w:val="00873594"/>
    <w:rsid w:val="00875285"/>
    <w:rsid w:val="00876C73"/>
    <w:rsid w:val="0088298B"/>
    <w:rsid w:val="00884B62"/>
    <w:rsid w:val="0088529C"/>
    <w:rsid w:val="00887903"/>
    <w:rsid w:val="0089270A"/>
    <w:rsid w:val="00893AF6"/>
    <w:rsid w:val="00894B0F"/>
    <w:rsid w:val="00894BC4"/>
    <w:rsid w:val="008A28A8"/>
    <w:rsid w:val="008A5B32"/>
    <w:rsid w:val="008B2029"/>
    <w:rsid w:val="008B2EE4"/>
    <w:rsid w:val="008B3821"/>
    <w:rsid w:val="008B4D3D"/>
    <w:rsid w:val="008B5245"/>
    <w:rsid w:val="008B57C7"/>
    <w:rsid w:val="008C2F92"/>
    <w:rsid w:val="008C589D"/>
    <w:rsid w:val="008C6D51"/>
    <w:rsid w:val="008D2846"/>
    <w:rsid w:val="008D4236"/>
    <w:rsid w:val="008D462F"/>
    <w:rsid w:val="008D5C45"/>
    <w:rsid w:val="008D6DCF"/>
    <w:rsid w:val="008E4376"/>
    <w:rsid w:val="008E7A0A"/>
    <w:rsid w:val="008E7B49"/>
    <w:rsid w:val="008F15C8"/>
    <w:rsid w:val="008F59F6"/>
    <w:rsid w:val="00900719"/>
    <w:rsid w:val="009017AC"/>
    <w:rsid w:val="00902A9A"/>
    <w:rsid w:val="00904A1C"/>
    <w:rsid w:val="00905030"/>
    <w:rsid w:val="00906490"/>
    <w:rsid w:val="009111B2"/>
    <w:rsid w:val="009151F5"/>
    <w:rsid w:val="00923ED5"/>
    <w:rsid w:val="00924AE1"/>
    <w:rsid w:val="009257ED"/>
    <w:rsid w:val="009269B1"/>
    <w:rsid w:val="0092724D"/>
    <w:rsid w:val="009272B3"/>
    <w:rsid w:val="009315BE"/>
    <w:rsid w:val="0093338F"/>
    <w:rsid w:val="00937BD9"/>
    <w:rsid w:val="00945877"/>
    <w:rsid w:val="00950C77"/>
    <w:rsid w:val="00950E2C"/>
    <w:rsid w:val="00951D50"/>
    <w:rsid w:val="009525EB"/>
    <w:rsid w:val="0095470B"/>
    <w:rsid w:val="00954874"/>
    <w:rsid w:val="0095615A"/>
    <w:rsid w:val="00961400"/>
    <w:rsid w:val="009623EA"/>
    <w:rsid w:val="00963646"/>
    <w:rsid w:val="0096632D"/>
    <w:rsid w:val="00967124"/>
    <w:rsid w:val="009717D2"/>
    <w:rsid w:val="009718C7"/>
    <w:rsid w:val="0097559F"/>
    <w:rsid w:val="009761EA"/>
    <w:rsid w:val="0097761E"/>
    <w:rsid w:val="00982454"/>
    <w:rsid w:val="00982CF0"/>
    <w:rsid w:val="009853E1"/>
    <w:rsid w:val="00986E6B"/>
    <w:rsid w:val="00990032"/>
    <w:rsid w:val="00990B19"/>
    <w:rsid w:val="0099153B"/>
    <w:rsid w:val="00991769"/>
    <w:rsid w:val="0099232C"/>
    <w:rsid w:val="00993F49"/>
    <w:rsid w:val="00994386"/>
    <w:rsid w:val="009A13D8"/>
    <w:rsid w:val="009A279E"/>
    <w:rsid w:val="009A3015"/>
    <w:rsid w:val="009A3490"/>
    <w:rsid w:val="009A746E"/>
    <w:rsid w:val="009B0A6F"/>
    <w:rsid w:val="009B0A94"/>
    <w:rsid w:val="009B2AE8"/>
    <w:rsid w:val="009B5622"/>
    <w:rsid w:val="009B59E9"/>
    <w:rsid w:val="009B70AA"/>
    <w:rsid w:val="009C1CB1"/>
    <w:rsid w:val="009C5E77"/>
    <w:rsid w:val="009C7A7E"/>
    <w:rsid w:val="009D02E8"/>
    <w:rsid w:val="009D3803"/>
    <w:rsid w:val="009D51D0"/>
    <w:rsid w:val="009D70A4"/>
    <w:rsid w:val="009D7A52"/>
    <w:rsid w:val="009D7B14"/>
    <w:rsid w:val="009E08D1"/>
    <w:rsid w:val="009E1B95"/>
    <w:rsid w:val="009E496F"/>
    <w:rsid w:val="009E4B0D"/>
    <w:rsid w:val="009E5250"/>
    <w:rsid w:val="009E7A69"/>
    <w:rsid w:val="009E7F92"/>
    <w:rsid w:val="009F02A3"/>
    <w:rsid w:val="009F07D1"/>
    <w:rsid w:val="009F2F27"/>
    <w:rsid w:val="009F34AA"/>
    <w:rsid w:val="009F6BCB"/>
    <w:rsid w:val="009F7B78"/>
    <w:rsid w:val="00A0057A"/>
    <w:rsid w:val="00A025D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54ADF"/>
    <w:rsid w:val="00A6061C"/>
    <w:rsid w:val="00A62D44"/>
    <w:rsid w:val="00A67263"/>
    <w:rsid w:val="00A7161C"/>
    <w:rsid w:val="00A77AA3"/>
    <w:rsid w:val="00A8236D"/>
    <w:rsid w:val="00A825A5"/>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C7223"/>
    <w:rsid w:val="00AD0C25"/>
    <w:rsid w:val="00AD0CBA"/>
    <w:rsid w:val="00AD26E2"/>
    <w:rsid w:val="00AD784C"/>
    <w:rsid w:val="00AE126A"/>
    <w:rsid w:val="00AE1BAE"/>
    <w:rsid w:val="00AE3005"/>
    <w:rsid w:val="00AE3BD5"/>
    <w:rsid w:val="00AE59A0"/>
    <w:rsid w:val="00AE7145"/>
    <w:rsid w:val="00AE7C35"/>
    <w:rsid w:val="00AF0C57"/>
    <w:rsid w:val="00AF26F3"/>
    <w:rsid w:val="00AF5F04"/>
    <w:rsid w:val="00B00672"/>
    <w:rsid w:val="00B01B4D"/>
    <w:rsid w:val="00B04489"/>
    <w:rsid w:val="00B06571"/>
    <w:rsid w:val="00B068BA"/>
    <w:rsid w:val="00B07217"/>
    <w:rsid w:val="00B108FE"/>
    <w:rsid w:val="00B13851"/>
    <w:rsid w:val="00B13B1C"/>
    <w:rsid w:val="00B14B5F"/>
    <w:rsid w:val="00B21F90"/>
    <w:rsid w:val="00B22291"/>
    <w:rsid w:val="00B23F9A"/>
    <w:rsid w:val="00B2417B"/>
    <w:rsid w:val="00B24E6F"/>
    <w:rsid w:val="00B26CB5"/>
    <w:rsid w:val="00B2752E"/>
    <w:rsid w:val="00B307CC"/>
    <w:rsid w:val="00B31E60"/>
    <w:rsid w:val="00B326B7"/>
    <w:rsid w:val="00B3588E"/>
    <w:rsid w:val="00B40091"/>
    <w:rsid w:val="00B4198F"/>
    <w:rsid w:val="00B41F3D"/>
    <w:rsid w:val="00B431E8"/>
    <w:rsid w:val="00B45141"/>
    <w:rsid w:val="00B519CD"/>
    <w:rsid w:val="00B5273A"/>
    <w:rsid w:val="00B57329"/>
    <w:rsid w:val="00B5765D"/>
    <w:rsid w:val="00B60E61"/>
    <w:rsid w:val="00B62B50"/>
    <w:rsid w:val="00B635B7"/>
    <w:rsid w:val="00B63AE8"/>
    <w:rsid w:val="00B65950"/>
    <w:rsid w:val="00B66D83"/>
    <w:rsid w:val="00B672C0"/>
    <w:rsid w:val="00B676FD"/>
    <w:rsid w:val="00B678B6"/>
    <w:rsid w:val="00B71B62"/>
    <w:rsid w:val="00B75646"/>
    <w:rsid w:val="00B7629E"/>
    <w:rsid w:val="00B90729"/>
    <w:rsid w:val="00B907DA"/>
    <w:rsid w:val="00B9156E"/>
    <w:rsid w:val="00B950BC"/>
    <w:rsid w:val="00B9714C"/>
    <w:rsid w:val="00BA29AD"/>
    <w:rsid w:val="00BA33CF"/>
    <w:rsid w:val="00BA3F8D"/>
    <w:rsid w:val="00BB7A10"/>
    <w:rsid w:val="00BC60BE"/>
    <w:rsid w:val="00BC7468"/>
    <w:rsid w:val="00BC7D4F"/>
    <w:rsid w:val="00BC7ED7"/>
    <w:rsid w:val="00BD2850"/>
    <w:rsid w:val="00BE28D2"/>
    <w:rsid w:val="00BE37A5"/>
    <w:rsid w:val="00BE4A64"/>
    <w:rsid w:val="00BE5E43"/>
    <w:rsid w:val="00BF557D"/>
    <w:rsid w:val="00BF5BB0"/>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6C1"/>
    <w:rsid w:val="00C25D70"/>
    <w:rsid w:val="00C26588"/>
    <w:rsid w:val="00C27DE9"/>
    <w:rsid w:val="00C32989"/>
    <w:rsid w:val="00C33388"/>
    <w:rsid w:val="00C33CCD"/>
    <w:rsid w:val="00C35484"/>
    <w:rsid w:val="00C4173A"/>
    <w:rsid w:val="00C50DED"/>
    <w:rsid w:val="00C52217"/>
    <w:rsid w:val="00C602FF"/>
    <w:rsid w:val="00C61174"/>
    <w:rsid w:val="00C6148F"/>
    <w:rsid w:val="00C621B1"/>
    <w:rsid w:val="00C62F7A"/>
    <w:rsid w:val="00C63B9C"/>
    <w:rsid w:val="00C6682F"/>
    <w:rsid w:val="00C67BF4"/>
    <w:rsid w:val="00C7275E"/>
    <w:rsid w:val="00C74AA4"/>
    <w:rsid w:val="00C74C5D"/>
    <w:rsid w:val="00C85A69"/>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CF7084"/>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5904"/>
    <w:rsid w:val="00D4606D"/>
    <w:rsid w:val="00D50B9C"/>
    <w:rsid w:val="00D52D73"/>
    <w:rsid w:val="00D52E58"/>
    <w:rsid w:val="00D56B20"/>
    <w:rsid w:val="00D578B3"/>
    <w:rsid w:val="00D613B0"/>
    <w:rsid w:val="00D618F4"/>
    <w:rsid w:val="00D64A7D"/>
    <w:rsid w:val="00D714CC"/>
    <w:rsid w:val="00D75EA7"/>
    <w:rsid w:val="00D81ADF"/>
    <w:rsid w:val="00D81F21"/>
    <w:rsid w:val="00D864F2"/>
    <w:rsid w:val="00D943F8"/>
    <w:rsid w:val="00D95470"/>
    <w:rsid w:val="00D96B55"/>
    <w:rsid w:val="00DA13C0"/>
    <w:rsid w:val="00DA2619"/>
    <w:rsid w:val="00DA2E57"/>
    <w:rsid w:val="00DA4239"/>
    <w:rsid w:val="00DA5073"/>
    <w:rsid w:val="00DA65DE"/>
    <w:rsid w:val="00DB0B61"/>
    <w:rsid w:val="00DB1474"/>
    <w:rsid w:val="00DB25A4"/>
    <w:rsid w:val="00DB2962"/>
    <w:rsid w:val="00DB52FB"/>
    <w:rsid w:val="00DC013B"/>
    <w:rsid w:val="00DC090B"/>
    <w:rsid w:val="00DC1679"/>
    <w:rsid w:val="00DC219B"/>
    <w:rsid w:val="00DC2CF1"/>
    <w:rsid w:val="00DC3A7C"/>
    <w:rsid w:val="00DC4FCF"/>
    <w:rsid w:val="00DC50E0"/>
    <w:rsid w:val="00DC5679"/>
    <w:rsid w:val="00DC6386"/>
    <w:rsid w:val="00DD1130"/>
    <w:rsid w:val="00DD1951"/>
    <w:rsid w:val="00DD487D"/>
    <w:rsid w:val="00DD4E83"/>
    <w:rsid w:val="00DD6628"/>
    <w:rsid w:val="00DD6945"/>
    <w:rsid w:val="00DE2D04"/>
    <w:rsid w:val="00DE3250"/>
    <w:rsid w:val="00DE3BC0"/>
    <w:rsid w:val="00DE6028"/>
    <w:rsid w:val="00DE6C85"/>
    <w:rsid w:val="00DE78A3"/>
    <w:rsid w:val="00DF1A71"/>
    <w:rsid w:val="00DF50FC"/>
    <w:rsid w:val="00DF68C7"/>
    <w:rsid w:val="00DF731A"/>
    <w:rsid w:val="00E0011F"/>
    <w:rsid w:val="00E06B75"/>
    <w:rsid w:val="00E11332"/>
    <w:rsid w:val="00E11352"/>
    <w:rsid w:val="00E170DC"/>
    <w:rsid w:val="00E17546"/>
    <w:rsid w:val="00E210B5"/>
    <w:rsid w:val="00E2170B"/>
    <w:rsid w:val="00E236E9"/>
    <w:rsid w:val="00E261B3"/>
    <w:rsid w:val="00E26818"/>
    <w:rsid w:val="00E27FFC"/>
    <w:rsid w:val="00E30B15"/>
    <w:rsid w:val="00E33237"/>
    <w:rsid w:val="00E40181"/>
    <w:rsid w:val="00E528F0"/>
    <w:rsid w:val="00E54950"/>
    <w:rsid w:val="00E54FD8"/>
    <w:rsid w:val="00E55FB3"/>
    <w:rsid w:val="00E56A01"/>
    <w:rsid w:val="00E629A1"/>
    <w:rsid w:val="00E6794C"/>
    <w:rsid w:val="00E71591"/>
    <w:rsid w:val="00E71CEB"/>
    <w:rsid w:val="00E7474F"/>
    <w:rsid w:val="00E80DE3"/>
    <w:rsid w:val="00E827D4"/>
    <w:rsid w:val="00E82C55"/>
    <w:rsid w:val="00E8787E"/>
    <w:rsid w:val="00E923B5"/>
    <w:rsid w:val="00E92AC3"/>
    <w:rsid w:val="00EA2F6A"/>
    <w:rsid w:val="00EB00E0"/>
    <w:rsid w:val="00EB05D5"/>
    <w:rsid w:val="00EB1931"/>
    <w:rsid w:val="00EB41C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4962"/>
    <w:rsid w:val="00F250A9"/>
    <w:rsid w:val="00F267AF"/>
    <w:rsid w:val="00F30FF4"/>
    <w:rsid w:val="00F3122E"/>
    <w:rsid w:val="00F31639"/>
    <w:rsid w:val="00F32368"/>
    <w:rsid w:val="00F331AD"/>
    <w:rsid w:val="00F35287"/>
    <w:rsid w:val="00F368BE"/>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67C7D"/>
    <w:rsid w:val="00F72C2C"/>
    <w:rsid w:val="00F72E77"/>
    <w:rsid w:val="00F741F2"/>
    <w:rsid w:val="00F76CAB"/>
    <w:rsid w:val="00F772C6"/>
    <w:rsid w:val="00F815B5"/>
    <w:rsid w:val="00F82BBF"/>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5BDA304"/>
    <w:rsid w:val="2FD29C9F"/>
    <w:rsid w:val="768316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4C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81562C"/>
    <w:pPr>
      <w:spacing w:after="120" w:line="270" w:lineRule="atLeast"/>
    </w:pPr>
    <w:rPr>
      <w:rFonts w:ascii="Arial" w:eastAsia="Times" w:hAnsi="Arial"/>
      <w:lang w:eastAsia="en-US"/>
    </w:rPr>
  </w:style>
  <w:style w:type="character" w:customStyle="1" w:styleId="DHHSbodyChar">
    <w:name w:val="DHHS body Char"/>
    <w:link w:val="DHHSbody"/>
    <w:locked/>
    <w:rsid w:val="0081562C"/>
    <w:rPr>
      <w:rFonts w:ascii="Arial" w:eastAsia="Times" w:hAnsi="Arial"/>
      <w:lang w:eastAsia="en-US"/>
    </w:rPr>
  </w:style>
  <w:style w:type="character" w:customStyle="1" w:styleId="normaltextrun">
    <w:name w:val="normaltextrun"/>
    <w:basedOn w:val="DefaultParagraphFont"/>
    <w:rsid w:val="000A5441"/>
  </w:style>
  <w:style w:type="character" w:customStyle="1" w:styleId="eop">
    <w:name w:val="eop"/>
    <w:basedOn w:val="DefaultParagraphFont"/>
    <w:rsid w:val="000A5441"/>
  </w:style>
  <w:style w:type="paragraph" w:styleId="Caption">
    <w:name w:val="caption"/>
    <w:basedOn w:val="Normal"/>
    <w:next w:val="Normal"/>
    <w:uiPriority w:val="35"/>
    <w:semiHidden/>
    <w:unhideWhenUsed/>
    <w:qFormat/>
    <w:rsid w:val="009A746E"/>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902257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hhs.vic.gov.au/publications/annual-report-department-health-and-human-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BAC-BR-8247 Att 1 ASDD Disability Services 2020-21</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5" ma:contentTypeDescription="" ma:contentTypeScope="" ma:versionID="dfff90bbe24206ba5284836b579fdef6">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86f1201482d8b0a631be7139c1c6ee02"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59098f23-3ca6-4eec-8c4e-6f77ceae2d9e"/>
    <ds:schemaRef ds:uri="9bb0acc9-d7bd-4cdf-ad2b-ac1699117d04"/>
  </ds:schemaRefs>
</ds:datastoreItem>
</file>

<file path=customXml/itemProps3.xml><?xml version="1.0" encoding="utf-8"?>
<ds:datastoreItem xmlns:ds="http://schemas.openxmlformats.org/officeDocument/2006/customXml" ds:itemID="{0BE6A820-512C-4208-BBE3-91384C37C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9bb0acc9-d7bd-4cdf-ad2b-ac1699117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internal.vic.gov.au\DHHS\GroupData\Office Templates\DFFH visual style 2021\DFFH teal factsheet.dotx</Template>
  <TotalTime>1</TotalTime>
  <Pages>4</Pages>
  <Words>1510</Words>
  <Characters>7147</Characters>
  <Application>Microsoft Office Word</Application>
  <DocSecurity>0</DocSecurity>
  <Lines>893</Lines>
  <Paragraphs>865</Paragraphs>
  <ScaleCrop>false</ScaleCrop>
  <Manager/>
  <Company/>
  <LinksUpToDate>false</LinksUpToDate>
  <CharactersWithSpaces>7792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subject/>
  <dc:creator/>
  <cp:keywords/>
  <cp:lastModifiedBy/>
  <cp:revision>2</cp:revision>
  <cp:lastPrinted>2021-01-30T00:27:00Z</cp:lastPrinted>
  <dcterms:created xsi:type="dcterms:W3CDTF">2021-11-09T00:55:00Z</dcterms:created>
  <dcterms:modified xsi:type="dcterms:W3CDTF">2021-11-09T03:33:00Z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v4 19022021</vt:lpwstr>
  </property>
  <property fmtid="{D5CDD505-2E9C-101B-9397-08002B2CF9AE}" pid="5" name="MSIP_Label_3d6aa9fe-4ab7-4a7c-8e39-ccc0b3ffed53_Enabled">
    <vt:lpwstr>true</vt:lpwstr>
  </property>
  <property fmtid="{D5CDD505-2E9C-101B-9397-08002B2CF9AE}" pid="6" name="MSIP_Label_3d6aa9fe-4ab7-4a7c-8e39-ccc0b3ffed53_SetDate">
    <vt:lpwstr>2021-09-01T05:38:36Z</vt:lpwstr>
  </property>
  <property fmtid="{D5CDD505-2E9C-101B-9397-08002B2CF9AE}" pid="7" name="MSIP_Label_3d6aa9fe-4ab7-4a7c-8e39-ccc0b3ffed53_Method">
    <vt:lpwstr>Privileged</vt:lpwstr>
  </property>
  <property fmtid="{D5CDD505-2E9C-101B-9397-08002B2CF9AE}" pid="8" name="MSIP_Label_3d6aa9fe-4ab7-4a7c-8e39-ccc0b3ffed53_Name">
    <vt:lpwstr>3d6aa9fe-4ab7-4a7c-8e39-ccc0b3ffed53</vt:lpwstr>
  </property>
  <property fmtid="{D5CDD505-2E9C-101B-9397-08002B2CF9AE}" pid="9" name="MSIP_Label_3d6aa9fe-4ab7-4a7c-8e39-ccc0b3ffed53_SiteId">
    <vt:lpwstr>c0e0601f-0fac-449c-9c88-a104c4eb9f28</vt:lpwstr>
  </property>
  <property fmtid="{D5CDD505-2E9C-101B-9397-08002B2CF9AE}" pid="10" name="MSIP_Label_3d6aa9fe-4ab7-4a7c-8e39-ccc0b3ffed53_ActionId">
    <vt:lpwstr>acba2bee-5f27-4c13-b75a-e78684a1974b</vt:lpwstr>
  </property>
  <property fmtid="{D5CDD505-2E9C-101B-9397-08002B2CF9AE}" pid="11" name="MSIP_Label_3d6aa9fe-4ab7-4a7c-8e39-ccc0b3ffed53_ContentBits">
    <vt:lpwstr>0</vt:lpwstr>
  </property>
</Properties>
</file>