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BCBAD1C" w:rsidR="0074696E" w:rsidRPr="00280C4B" w:rsidRDefault="00146E97" w:rsidP="00280C4B">
      <w:pPr>
        <w:pStyle w:val="Sectionbreakfirstpage"/>
      </w:pPr>
      <w:r w:rsidRPr="00280C4B">
        <w:drawing>
          <wp:anchor distT="0" distB="0" distL="114300" distR="114300" simplePos="0" relativeHeight="251661312" behindDoc="1" locked="1" layoutInCell="1" allowOverlap="1" wp14:anchorId="3FBCCE9C" wp14:editId="1BB150F6">
            <wp:simplePos x="0" y="0"/>
            <wp:positionH relativeFrom="page">
              <wp:align>left</wp:align>
            </wp:positionH>
            <wp:positionV relativeFrom="page">
              <wp:align>top</wp:align>
            </wp:positionV>
            <wp:extent cx="7563600" cy="2070000"/>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C3502D">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550985">
        <w:trPr>
          <w:trHeight w:val="1418"/>
        </w:trPr>
        <w:tc>
          <w:tcPr>
            <w:tcW w:w="7655" w:type="dxa"/>
            <w:vAlign w:val="bottom"/>
          </w:tcPr>
          <w:p w14:paraId="1B06FE4C" w14:textId="09610007" w:rsidR="00AD784C" w:rsidRPr="00F029DC" w:rsidRDefault="00550985" w:rsidP="00F029DC">
            <w:pPr>
              <w:pStyle w:val="Documenttitle"/>
            </w:pPr>
            <w:r w:rsidRPr="00550985">
              <w:t>Practice points for using psychotropics to manage behaviours of concern</w:t>
            </w:r>
          </w:p>
        </w:tc>
      </w:tr>
      <w:tr w:rsidR="000B2117" w14:paraId="5DF317EC" w14:textId="77777777" w:rsidTr="00550985">
        <w:trPr>
          <w:trHeight w:val="1247"/>
        </w:trPr>
        <w:tc>
          <w:tcPr>
            <w:tcW w:w="7655" w:type="dxa"/>
          </w:tcPr>
          <w:p w14:paraId="69C24C39" w14:textId="24236487" w:rsidR="000B2117" w:rsidRPr="00A1389F" w:rsidRDefault="00550985" w:rsidP="00CF4148">
            <w:pPr>
              <w:pStyle w:val="Documentsubtitle"/>
            </w:pPr>
            <w:r>
              <w:t>For b</w:t>
            </w:r>
            <w:r w:rsidRPr="00550985">
              <w:t>ehaviour support practitioners</w:t>
            </w:r>
            <w:r>
              <w:t xml:space="preserve"> and</w:t>
            </w:r>
            <w:r w:rsidRPr="00550985">
              <w:t xml:space="preserve"> </w:t>
            </w:r>
            <w:r w:rsidR="00C3502D">
              <w:t>a</w:t>
            </w:r>
            <w:r w:rsidRPr="00550985">
              <w:t xml:space="preserve">uthorised </w:t>
            </w:r>
            <w:r w:rsidR="00EF127C">
              <w:br/>
            </w:r>
            <w:r w:rsidR="00C3502D">
              <w:t>p</w:t>
            </w:r>
            <w:r w:rsidRPr="00550985">
              <w:t xml:space="preserve">rogram </w:t>
            </w:r>
            <w:r w:rsidR="00C3502D">
              <w:t>o</w:t>
            </w:r>
            <w:r w:rsidRPr="00550985">
              <w:t>fficers</w:t>
            </w:r>
          </w:p>
        </w:tc>
      </w:tr>
      <w:tr w:rsidR="00CF4148" w14:paraId="5F5E6105" w14:textId="77777777" w:rsidTr="00550985">
        <w:trPr>
          <w:trHeight w:val="284"/>
        </w:trPr>
        <w:tc>
          <w:tcPr>
            <w:tcW w:w="7655" w:type="dxa"/>
          </w:tcPr>
          <w:p w14:paraId="45D389E8" w14:textId="0E5E87B4" w:rsidR="00550985" w:rsidRPr="00250DC4" w:rsidRDefault="00C3502D" w:rsidP="000D3F63">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21B37013" w14:textId="77777777" w:rsidR="000D3F63" w:rsidRDefault="000D3F63" w:rsidP="000D3F63">
      <w:pPr>
        <w:pStyle w:val="Body"/>
      </w:pPr>
      <w:bookmarkStart w:id="0" w:name="_Toc66794859"/>
      <w:bookmarkStart w:id="1" w:name="_Toc66800268"/>
    </w:p>
    <w:p w14:paraId="7BDF412C" w14:textId="77777777" w:rsidR="000D3F63" w:rsidRPr="00B519CD" w:rsidRDefault="000D3F63" w:rsidP="000D3F63">
      <w:pPr>
        <w:pStyle w:val="Body"/>
        <w:sectPr w:rsidR="000D3F63" w:rsidRPr="00B519CD" w:rsidSect="00C3502D">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AA80B2F" w14:textId="77777777" w:rsidR="000D3F63" w:rsidRDefault="000D3F63" w:rsidP="005F1F2C">
      <w:pPr>
        <w:pStyle w:val="Heading1"/>
        <w:rPr>
          <w:sz w:val="22"/>
          <w:szCs w:val="22"/>
        </w:rPr>
      </w:pPr>
      <w:r>
        <w:t>Purpose</w:t>
      </w:r>
    </w:p>
    <w:p w14:paraId="7B3259B5" w14:textId="7B8D0AF7" w:rsidR="00550985" w:rsidRDefault="00E42E05" w:rsidP="000D3F63">
      <w:pPr>
        <w:pStyle w:val="Body"/>
      </w:pPr>
      <w:r>
        <w:t>This fact sheet</w:t>
      </w:r>
      <w:r w:rsidR="00550985" w:rsidRPr="00B8491C">
        <w:t xml:space="preserve"> provide</w:t>
      </w:r>
      <w:r>
        <w:t>s</w:t>
      </w:r>
      <w:r w:rsidR="00550985" w:rsidRPr="00B8491C">
        <w:t xml:space="preserve"> information on common causes of behaviours of concern in people with developmental disability, and the withdrawal effects of commonly used medicines.</w:t>
      </w:r>
    </w:p>
    <w:p w14:paraId="75042738" w14:textId="77777777" w:rsidR="00063E70" w:rsidRDefault="00063E70" w:rsidP="005F1F2C">
      <w:pPr>
        <w:pStyle w:val="Heading1"/>
      </w:pPr>
      <w:r w:rsidRPr="00063E70">
        <w:t xml:space="preserve">Behaviours of concern </w:t>
      </w:r>
      <w:r w:rsidRPr="006A6F8F">
        <w:t>definition</w:t>
      </w:r>
    </w:p>
    <w:bookmarkEnd w:id="0"/>
    <w:bookmarkEnd w:id="1"/>
    <w:p w14:paraId="7B3B2B8F" w14:textId="16C14CD3" w:rsidR="00550985" w:rsidRDefault="00550985" w:rsidP="00E42E05">
      <w:pPr>
        <w:pStyle w:val="Body"/>
        <w:rPr>
          <w:szCs w:val="21"/>
        </w:rPr>
      </w:pPr>
      <w:r w:rsidRPr="002E35B3">
        <w:t xml:space="preserve">Behaviours of concern (BOCs) are defined </w:t>
      </w:r>
      <w:r w:rsidR="00E42E05">
        <w:t xml:space="preserve">by McVilly (2002) </w:t>
      </w:r>
      <w:r w:rsidRPr="002E35B3">
        <w:t>as</w:t>
      </w:r>
      <w:r w:rsidR="00E42E05">
        <w:rPr>
          <w:szCs w:val="21"/>
        </w:rPr>
        <w:t xml:space="preserve"> ‘a</w:t>
      </w:r>
      <w:r w:rsidRPr="002E35B3">
        <w:rPr>
          <w:szCs w:val="21"/>
        </w:rPr>
        <w:t>ny behaviour that is a barrier to a person participating in and contributing to their community (including both active and passive behaviours) that undermines, directly or indirectly, a person’s rights, dignity or quality of life, and poses a risk to the health and safety of a person and those with whom they live or work</w:t>
      </w:r>
      <w:r w:rsidR="00E42E05">
        <w:rPr>
          <w:szCs w:val="21"/>
        </w:rPr>
        <w:t>’</w:t>
      </w:r>
      <w:r w:rsidRPr="002E35B3">
        <w:rPr>
          <w:szCs w:val="21"/>
        </w:rPr>
        <w:t>.</w:t>
      </w:r>
    </w:p>
    <w:p w14:paraId="52787DC5" w14:textId="77777777" w:rsidR="006B3D29" w:rsidRDefault="006B3D29" w:rsidP="006B3D29">
      <w:pPr>
        <w:pStyle w:val="Body"/>
        <w:rPr>
          <w:rStyle w:val="BodyChar"/>
        </w:rPr>
      </w:pPr>
      <w:r w:rsidRPr="000D3F63">
        <w:rPr>
          <w:rStyle w:val="BodyChar"/>
        </w:rPr>
        <w:t>Those behaviours can significantly impact on quality of life and present a challenge to service providers</w:t>
      </w:r>
      <w:r>
        <w:rPr>
          <w:rStyle w:val="BodyChar"/>
        </w:rPr>
        <w:t>.</w:t>
      </w:r>
      <w:r w:rsidRPr="000D3F63">
        <w:rPr>
          <w:rStyle w:val="BodyChar"/>
        </w:rPr>
        <w:t xml:space="preserve"> </w:t>
      </w:r>
      <w:r>
        <w:rPr>
          <w:rStyle w:val="BodyChar"/>
        </w:rPr>
        <w:t>A</w:t>
      </w:r>
      <w:r w:rsidRPr="000D3F63">
        <w:rPr>
          <w:rStyle w:val="BodyChar"/>
        </w:rPr>
        <w:t xml:space="preserve">ny interventions to influence BOCs should be guided by an agreed </w:t>
      </w:r>
      <w:r>
        <w:rPr>
          <w:rStyle w:val="BodyChar"/>
        </w:rPr>
        <w:t>b</w:t>
      </w:r>
      <w:r w:rsidRPr="000D3F63">
        <w:rPr>
          <w:rStyle w:val="BodyChar"/>
        </w:rPr>
        <w:t xml:space="preserve">ehavioural </w:t>
      </w:r>
      <w:r>
        <w:rPr>
          <w:rStyle w:val="BodyChar"/>
        </w:rPr>
        <w:t>s</w:t>
      </w:r>
      <w:r w:rsidRPr="000D3F63">
        <w:rPr>
          <w:rStyle w:val="BodyChar"/>
        </w:rPr>
        <w:t xml:space="preserve">upport </w:t>
      </w:r>
      <w:r>
        <w:rPr>
          <w:rStyle w:val="BodyChar"/>
        </w:rPr>
        <w:t>p</w:t>
      </w:r>
      <w:r w:rsidRPr="000D3F63">
        <w:rPr>
          <w:rStyle w:val="BodyChar"/>
        </w:rPr>
        <w:t>lan.</w:t>
      </w:r>
    </w:p>
    <w:p w14:paraId="5A85057E" w14:textId="0607AD45" w:rsidR="006B3D29" w:rsidRPr="002E35B3" w:rsidRDefault="006B3D29" w:rsidP="006B3D29">
      <w:pPr>
        <w:pStyle w:val="Body"/>
      </w:pPr>
      <w:r w:rsidRPr="000D3F63">
        <w:rPr>
          <w:rStyle w:val="BodyChar"/>
        </w:rPr>
        <w:t>For more</w:t>
      </w:r>
      <w:r w:rsidRPr="002E35B3">
        <w:t xml:space="preserve"> information on </w:t>
      </w:r>
      <w:r>
        <w:t>p</w:t>
      </w:r>
      <w:r w:rsidRPr="002E35B3">
        <w:t xml:space="preserve">ositive </w:t>
      </w:r>
      <w:r>
        <w:t>b</w:t>
      </w:r>
      <w:r w:rsidRPr="002E35B3">
        <w:t xml:space="preserve">ehavioural </w:t>
      </w:r>
      <w:r>
        <w:t>s</w:t>
      </w:r>
      <w:r w:rsidRPr="002E35B3">
        <w:t xml:space="preserve">upport, </w:t>
      </w:r>
      <w:r>
        <w:t>download</w:t>
      </w:r>
      <w:r w:rsidRPr="002E35B3">
        <w:t xml:space="preserve"> the </w:t>
      </w:r>
      <w:hyperlink r:id="rId20" w:history="1">
        <w:r w:rsidRPr="006B3D29">
          <w:rPr>
            <w:rStyle w:val="Hyperlink"/>
          </w:rPr>
          <w:t>Positive Practice Framewor</w:t>
        </w:r>
        <w:r>
          <w:rPr>
            <w:rStyle w:val="Hyperlink"/>
          </w:rPr>
          <w:t>k: A guide for behaviour support practitioners</w:t>
        </w:r>
      </w:hyperlink>
      <w:r>
        <w:t xml:space="preserve"> &lt;</w:t>
      </w:r>
      <w:r w:rsidRPr="005F1F2C">
        <w:t>www.dffh.vic.gov.au/positive-practice-framework-word</w:t>
      </w:r>
      <w:r>
        <w:rPr>
          <w:szCs w:val="21"/>
        </w:rPr>
        <w:t>&gt;.</w:t>
      </w:r>
    </w:p>
    <w:p w14:paraId="320D00FA" w14:textId="01BE3EEA" w:rsidR="006B3D29" w:rsidRDefault="006B3D29" w:rsidP="006B3D29">
      <w:pPr>
        <w:pStyle w:val="Body"/>
        <w:rPr>
          <w:rFonts w:eastAsia="Times New Roman"/>
        </w:rPr>
      </w:pPr>
      <w:r>
        <w:rPr>
          <w:rFonts w:eastAsia="Times New Roman"/>
        </w:rPr>
        <w:t>Restrictive practices, including chemical restraint, can only be used when their use is necessary to prevent physical harm to the person or others, and used in the least restrictive manner with a dedicated fade out plan.</w:t>
      </w:r>
      <w:r w:rsidR="008D41D6">
        <w:rPr>
          <w:rFonts w:eastAsia="Times New Roman"/>
        </w:rPr>
        <w:t xml:space="preserve"> </w:t>
      </w:r>
      <w:r>
        <w:rPr>
          <w:rFonts w:eastAsia="Times New Roman"/>
        </w:rPr>
        <w:t xml:space="preserve">(Section 132 ZR of The </w:t>
      </w:r>
      <w:r w:rsidRPr="005F1F2C">
        <w:rPr>
          <w:rFonts w:eastAsia="Times New Roman"/>
          <w:i/>
          <w:iCs/>
        </w:rPr>
        <w:t>Disability Act 2006</w:t>
      </w:r>
      <w:r>
        <w:rPr>
          <w:rFonts w:eastAsia="Times New Roman"/>
        </w:rPr>
        <w:t>).</w:t>
      </w:r>
    </w:p>
    <w:p w14:paraId="3A26D6E4" w14:textId="10ACF028" w:rsidR="00063E70" w:rsidRDefault="006B3D29" w:rsidP="00E42E05">
      <w:pPr>
        <w:pStyle w:val="Body"/>
        <w:rPr>
          <w:szCs w:val="21"/>
        </w:rPr>
      </w:pPr>
      <w:r>
        <w:rPr>
          <w:rFonts w:eastAsia="Times New Roman"/>
        </w:rPr>
        <w:t>There are some commonly missed causes of behaviours of concern in people with developmental disability.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94"/>
      </w:tblGrid>
      <w:tr w:rsidR="00063E70" w14:paraId="2FEB3F69" w14:textId="77777777" w:rsidTr="00C3502D">
        <w:tc>
          <w:tcPr>
            <w:tcW w:w="10194" w:type="dxa"/>
          </w:tcPr>
          <w:p w14:paraId="5E731AC2" w14:textId="77777777" w:rsidR="00063E70" w:rsidRDefault="00063E70" w:rsidP="00063E70">
            <w:pPr>
              <w:pStyle w:val="Body"/>
            </w:pPr>
            <w:r w:rsidRPr="00590686">
              <w:t>Commonly missed causes of challenging behaviour in people with developmental disability</w:t>
            </w:r>
            <w:r>
              <w:t>:</w:t>
            </w:r>
          </w:p>
          <w:p w14:paraId="00D6612B" w14:textId="5585D62B" w:rsidR="00063E70" w:rsidRDefault="007E3BE7" w:rsidP="005F1F2C">
            <w:pPr>
              <w:pStyle w:val="Tablebullet1"/>
            </w:pPr>
            <w:r>
              <w:t>a</w:t>
            </w:r>
            <w:r w:rsidR="00063E70">
              <w:t>buse and trauma</w:t>
            </w:r>
          </w:p>
          <w:p w14:paraId="3B5A562F" w14:textId="0A760CD6" w:rsidR="00063E70" w:rsidRDefault="007E3BE7" w:rsidP="005F1F2C">
            <w:pPr>
              <w:pStyle w:val="Tablebullet1"/>
            </w:pPr>
            <w:r>
              <w:t>c</w:t>
            </w:r>
            <w:r w:rsidR="00063E70">
              <w:t>onstipation</w:t>
            </w:r>
          </w:p>
          <w:p w14:paraId="13A91F52" w14:textId="6DD71FB8" w:rsidR="00063E70" w:rsidRDefault="007E3BE7" w:rsidP="005F1F2C">
            <w:pPr>
              <w:pStyle w:val="Tablebullet1"/>
            </w:pPr>
            <w:r>
              <w:t>d</w:t>
            </w:r>
            <w:r w:rsidR="00063E70">
              <w:t>ental pain and gum disease</w:t>
            </w:r>
          </w:p>
          <w:p w14:paraId="5A234E5A" w14:textId="70E8B599" w:rsidR="00063E70" w:rsidRDefault="007E3BE7" w:rsidP="005F1F2C">
            <w:pPr>
              <w:pStyle w:val="Tablebullet1"/>
            </w:pPr>
            <w:r>
              <w:t>g</w:t>
            </w:r>
            <w:r w:rsidR="00063E70">
              <w:t xml:space="preserve">astro-oesophageal reflux disease (GORD) and </w:t>
            </w:r>
            <w:r w:rsidR="00063E70" w:rsidRPr="00590686">
              <w:rPr>
                <w:i/>
                <w:iCs/>
              </w:rPr>
              <w:t>helicobacter pylori</w:t>
            </w:r>
            <w:r w:rsidR="00063E70">
              <w:t xml:space="preserve"> infection</w:t>
            </w:r>
          </w:p>
          <w:p w14:paraId="1781AA11" w14:textId="2A8BB42E" w:rsidR="00063E70" w:rsidRDefault="007E3BE7" w:rsidP="005F1F2C">
            <w:pPr>
              <w:pStyle w:val="Tablebullet1"/>
            </w:pPr>
            <w:r>
              <w:t>h</w:t>
            </w:r>
            <w:r w:rsidR="00063E70">
              <w:t>unger and poor nutrition</w:t>
            </w:r>
          </w:p>
          <w:p w14:paraId="6465F9B5" w14:textId="4C8C1D74" w:rsidR="00063E70" w:rsidRDefault="007E3BE7" w:rsidP="005F1F2C">
            <w:pPr>
              <w:pStyle w:val="Tablebullet1"/>
            </w:pPr>
            <w:r>
              <w:t>i</w:t>
            </w:r>
            <w:r w:rsidR="00063E70">
              <w:t>nfection – consider immunisation status</w:t>
            </w:r>
          </w:p>
          <w:p w14:paraId="3729830D" w14:textId="3652D5B1" w:rsidR="00063E70" w:rsidRDefault="007E3BE7" w:rsidP="005F1F2C">
            <w:pPr>
              <w:pStyle w:val="Tablebullet1"/>
            </w:pPr>
            <w:r>
              <w:t>m</w:t>
            </w:r>
            <w:r w:rsidR="00063E70">
              <w:t>edication adverse effects</w:t>
            </w:r>
          </w:p>
          <w:p w14:paraId="4E954B96" w14:textId="22DCA605" w:rsidR="00063E70" w:rsidRDefault="007E3BE7" w:rsidP="005F1F2C">
            <w:pPr>
              <w:pStyle w:val="Tablebullet1"/>
            </w:pPr>
            <w:r>
              <w:t>p</w:t>
            </w:r>
            <w:r w:rsidR="00063E70">
              <w:t>oor physical activity</w:t>
            </w:r>
          </w:p>
          <w:p w14:paraId="5081865E" w14:textId="05D9C292" w:rsidR="00063E70" w:rsidRDefault="007E3BE7" w:rsidP="005F1F2C">
            <w:pPr>
              <w:pStyle w:val="Tablebullet1"/>
            </w:pPr>
            <w:r>
              <w:t>p</w:t>
            </w:r>
            <w:r w:rsidR="00063E70">
              <w:t>sychiatric disorder</w:t>
            </w:r>
          </w:p>
          <w:p w14:paraId="140CABED" w14:textId="0E0A09B9" w:rsidR="00063E70" w:rsidRDefault="007E3BE7" w:rsidP="005F1F2C">
            <w:pPr>
              <w:pStyle w:val="Tablebullet1"/>
            </w:pPr>
            <w:r>
              <w:t>s</w:t>
            </w:r>
            <w:r w:rsidR="00063E70">
              <w:t>ensory deterioration or loss</w:t>
            </w:r>
          </w:p>
          <w:p w14:paraId="452C6C87" w14:textId="3223B7E7" w:rsidR="00063E70" w:rsidRDefault="007E3BE7" w:rsidP="005F1F2C">
            <w:pPr>
              <w:pStyle w:val="Tablebullet1"/>
            </w:pPr>
            <w:r>
              <w:t>s</w:t>
            </w:r>
            <w:r w:rsidR="00063E70">
              <w:t>leep problems</w:t>
            </w:r>
          </w:p>
          <w:p w14:paraId="544C512E" w14:textId="1F52ED84" w:rsidR="00063E70" w:rsidRDefault="007E3BE7" w:rsidP="005F1F2C">
            <w:pPr>
              <w:pStyle w:val="Tablebullet1"/>
            </w:pPr>
            <w:r>
              <w:t>s</w:t>
            </w:r>
            <w:r w:rsidR="00063E70">
              <w:t>ocial or environmental changes, including irregular contact, or loss of contact with a trusted carer or friend (</w:t>
            </w:r>
            <w:r w:rsidR="008D41D6">
              <w:t>for example</w:t>
            </w:r>
            <w:r w:rsidR="00063E70">
              <w:t>, change of staff or co-residents, death of a family member)</w:t>
            </w:r>
          </w:p>
          <w:p w14:paraId="0ED33F42" w14:textId="4B6E9733" w:rsidR="00063E70" w:rsidRDefault="007E3BE7" w:rsidP="005F1F2C">
            <w:pPr>
              <w:pStyle w:val="Tablebullet1"/>
            </w:pPr>
            <w:r>
              <w:lastRenderedPageBreak/>
              <w:t>t</w:t>
            </w:r>
            <w:r w:rsidR="00063E70">
              <w:t>hyroid disease</w:t>
            </w:r>
          </w:p>
          <w:p w14:paraId="592E8FE1" w14:textId="6CAB6CD8" w:rsidR="00063E70" w:rsidRDefault="007E3BE7" w:rsidP="005F1F2C">
            <w:pPr>
              <w:pStyle w:val="Tablebullet1"/>
            </w:pPr>
            <w:r>
              <w:t>u</w:t>
            </w:r>
            <w:r w:rsidR="00063E70">
              <w:t>nrecognised or poorly controlled neurological condition (</w:t>
            </w:r>
            <w:r w:rsidR="008D41D6">
              <w:t>for example</w:t>
            </w:r>
            <w:r w:rsidR="00063E70">
              <w:t>, epilepsy)</w:t>
            </w:r>
          </w:p>
          <w:p w14:paraId="6A52A0D3" w14:textId="077B9B33" w:rsidR="00063E70" w:rsidRDefault="007E3BE7" w:rsidP="005F1F2C">
            <w:pPr>
              <w:pStyle w:val="Tablebullet1"/>
            </w:pPr>
            <w:r>
              <w:t>u</w:t>
            </w:r>
            <w:r w:rsidR="00063E70">
              <w:t>nrecognised physical injury (</w:t>
            </w:r>
            <w:r w:rsidR="008D41D6">
              <w:t>for example</w:t>
            </w:r>
            <w:r w:rsidR="00063E70">
              <w:t>, fracture)</w:t>
            </w:r>
            <w:r>
              <w:t>.</w:t>
            </w:r>
          </w:p>
          <w:p w14:paraId="6E7F97B0" w14:textId="117A3F20" w:rsidR="00063E70" w:rsidRPr="00C3502D" w:rsidRDefault="00121F5A" w:rsidP="00121F5A">
            <w:pPr>
              <w:pStyle w:val="Body"/>
              <w:rPr>
                <w:rStyle w:val="FootnoteReference"/>
                <w:vertAlign w:val="baseline"/>
              </w:rPr>
            </w:pPr>
            <w:r w:rsidRPr="00C3502D">
              <w:rPr>
                <w:rStyle w:val="FootnoteReference"/>
                <w:vertAlign w:val="baseline"/>
              </w:rPr>
              <w:t>This information was r</w:t>
            </w:r>
            <w:r w:rsidR="00063E70" w:rsidRPr="00C3502D">
              <w:rPr>
                <w:rStyle w:val="FootnoteReference"/>
                <w:vertAlign w:val="baseline"/>
              </w:rPr>
              <w:t xml:space="preserve">eproduced with permission from </w:t>
            </w:r>
            <w:r w:rsidR="006B3D29" w:rsidRPr="00C3502D">
              <w:rPr>
                <w:rStyle w:val="FootnoteReference"/>
                <w:vertAlign w:val="baseline"/>
              </w:rPr>
              <w:t>‘</w:t>
            </w:r>
            <w:r w:rsidR="00063E70" w:rsidRPr="00C3502D">
              <w:rPr>
                <w:rStyle w:val="FootnoteReference"/>
                <w:vertAlign w:val="baseline"/>
              </w:rPr>
              <w:t>Initial assessment and support for challenging behaviour in a person with developmental disability</w:t>
            </w:r>
            <w:r w:rsidR="006B3D29" w:rsidRPr="00C3502D">
              <w:rPr>
                <w:rStyle w:val="FootnoteReference"/>
                <w:vertAlign w:val="baseline"/>
              </w:rPr>
              <w:t>’,</w:t>
            </w:r>
            <w:r w:rsidR="00063E70" w:rsidRPr="00C3502D">
              <w:rPr>
                <w:rStyle w:val="FootnoteReference"/>
                <w:vertAlign w:val="baseline"/>
              </w:rPr>
              <w:t xml:space="preserve"> </w:t>
            </w:r>
            <w:hyperlink r:id="rId21" w:history="1">
              <w:r w:rsidR="00063E70" w:rsidRPr="00C3502D">
                <w:rPr>
                  <w:rStyle w:val="Hyperlink"/>
                </w:rPr>
                <w:t>Therapeutic Guidelines [digital]</w:t>
              </w:r>
            </w:hyperlink>
            <w:r w:rsidR="00063E70" w:rsidRPr="00C3502D">
              <w:rPr>
                <w:rStyle w:val="FootnoteReference"/>
                <w:vertAlign w:val="baseline"/>
              </w:rPr>
              <w:t xml:space="preserve"> </w:t>
            </w:r>
            <w:r w:rsidRPr="00C3502D">
              <w:t>&lt;</w:t>
            </w:r>
            <w:r w:rsidRPr="00C3502D">
              <w:rPr>
                <w:rStyle w:val="FootnoteReference"/>
                <w:vertAlign w:val="baseline"/>
              </w:rPr>
              <w:t>https://www.tg.org.au</w:t>
            </w:r>
            <w:r w:rsidRPr="00C3502D">
              <w:t>&gt;</w:t>
            </w:r>
            <w:r w:rsidR="008D41D6" w:rsidRPr="00C3502D">
              <w:rPr>
                <w:rStyle w:val="FootnoteReference"/>
                <w:vertAlign w:val="baseline"/>
              </w:rPr>
              <w:t>, published March 2021.</w:t>
            </w:r>
          </w:p>
        </w:tc>
      </w:tr>
    </w:tbl>
    <w:p w14:paraId="6356A2A1" w14:textId="6C0F8CD5" w:rsidR="00550985" w:rsidRDefault="00550985" w:rsidP="005F1F2C">
      <w:pPr>
        <w:pStyle w:val="Heading1"/>
      </w:pPr>
      <w:r>
        <w:lastRenderedPageBreak/>
        <w:t xml:space="preserve">Chemical </w:t>
      </w:r>
      <w:r w:rsidR="008D41D6">
        <w:t>r</w:t>
      </w:r>
      <w:r>
        <w:t xml:space="preserve">estraint </w:t>
      </w:r>
      <w:r w:rsidR="008D41D6">
        <w:t>p</w:t>
      </w:r>
      <w:r>
        <w:t xml:space="preserve">ractice </w:t>
      </w:r>
      <w:r w:rsidR="008D41D6">
        <w:t>p</w:t>
      </w:r>
      <w:r>
        <w:t>oints</w:t>
      </w:r>
    </w:p>
    <w:p w14:paraId="0DA9F214" w14:textId="2B9AAF02" w:rsidR="00550985" w:rsidRDefault="00550985" w:rsidP="000D3F63">
      <w:pPr>
        <w:pStyle w:val="Body"/>
        <w:rPr>
          <w:rFonts w:eastAsia="Times New Roman"/>
        </w:rPr>
      </w:pPr>
      <w:r>
        <w:rPr>
          <w:rFonts w:eastAsia="Times New Roman"/>
        </w:rPr>
        <w:t>Implementing providers are encouraged to assess all potential causes and communicate the observations regularly with the client</w:t>
      </w:r>
      <w:r w:rsidR="005C6E24">
        <w:rPr>
          <w:rFonts w:eastAsia="Times New Roman"/>
        </w:rPr>
        <w:t>’</w:t>
      </w:r>
      <w:r>
        <w:rPr>
          <w:rFonts w:eastAsia="Times New Roman"/>
        </w:rPr>
        <w:t>s treating doctor(s).</w:t>
      </w:r>
    </w:p>
    <w:p w14:paraId="4BB898D8" w14:textId="79EFC3E8" w:rsidR="00550985" w:rsidRDefault="00550985" w:rsidP="000D3F63">
      <w:pPr>
        <w:pStyle w:val="Body"/>
        <w:rPr>
          <w:rFonts w:eastAsia="Times New Roman"/>
        </w:rPr>
      </w:pPr>
      <w:r>
        <w:rPr>
          <w:rFonts w:eastAsia="Times New Roman"/>
        </w:rPr>
        <w:t xml:space="preserve">The NDIS Quality and Safeguard Commission’s Regulated Restrictive Practices Guide states that a regulated restrictive practice must </w:t>
      </w:r>
      <w:r w:rsidR="005C6E24">
        <w:rPr>
          <w:rFonts w:eastAsia="Times New Roman"/>
        </w:rPr>
        <w:t>‘</w:t>
      </w:r>
      <w:r>
        <w:rPr>
          <w:rFonts w:eastAsia="Times New Roman"/>
        </w:rPr>
        <w:t>be used only as a last resort in response to risk of harm</w:t>
      </w:r>
      <w:r w:rsidR="005C6E24">
        <w:rPr>
          <w:rFonts w:eastAsia="Times New Roman"/>
        </w:rPr>
        <w:t xml:space="preserve"> </w:t>
      </w:r>
      <w:r>
        <w:rPr>
          <w:rFonts w:eastAsia="Times New Roman"/>
        </w:rPr>
        <w:t>… and after the provider has explored and applied evidence-based, person-centred and proactive strategies</w:t>
      </w:r>
      <w:r w:rsidR="005C6E24">
        <w:rPr>
          <w:rFonts w:eastAsia="Times New Roman"/>
        </w:rPr>
        <w:t>’</w:t>
      </w:r>
      <w:r>
        <w:rPr>
          <w:rFonts w:eastAsia="Times New Roman"/>
        </w:rPr>
        <w:t>.</w:t>
      </w:r>
      <w:r w:rsidR="00121F5A">
        <w:rPr>
          <w:rStyle w:val="FootnoteReference"/>
          <w:rFonts w:eastAsia="Times New Roman"/>
        </w:rPr>
        <w:footnoteReference w:id="1"/>
      </w:r>
    </w:p>
    <w:p w14:paraId="03CC7D6D" w14:textId="177D26D5" w:rsidR="00550985" w:rsidRDefault="00550985" w:rsidP="000D3F63">
      <w:pPr>
        <w:pStyle w:val="Body"/>
        <w:rPr>
          <w:rFonts w:eastAsia="Times New Roman"/>
        </w:rPr>
      </w:pPr>
      <w:r>
        <w:rPr>
          <w:rFonts w:eastAsia="Times New Roman"/>
        </w:rPr>
        <w:t>Chemical restraint is defined</w:t>
      </w:r>
      <w:r w:rsidR="005C6E24">
        <w:rPr>
          <w:rFonts w:eastAsia="Times New Roman"/>
        </w:rPr>
        <w:t>,</w:t>
      </w:r>
      <w:r>
        <w:rPr>
          <w:rFonts w:eastAsia="Times New Roman"/>
        </w:rPr>
        <w:t xml:space="preserve"> as per </w:t>
      </w:r>
      <w:r w:rsidR="005C6E24">
        <w:rPr>
          <w:rFonts w:eastAsia="Times New Roman"/>
        </w:rPr>
        <w:t xml:space="preserve">the </w:t>
      </w:r>
      <w:r w:rsidRPr="005F1F2C">
        <w:rPr>
          <w:rFonts w:eastAsia="Times New Roman"/>
          <w:i/>
          <w:iCs/>
        </w:rPr>
        <w:t>Disability Act 2006</w:t>
      </w:r>
      <w:r w:rsidR="005C6E24">
        <w:rPr>
          <w:rFonts w:eastAsia="Times New Roman"/>
          <w:i/>
          <w:iCs/>
        </w:rPr>
        <w:t xml:space="preserve"> </w:t>
      </w:r>
      <w:r w:rsidR="005C6E24" w:rsidRPr="005F1F2C">
        <w:rPr>
          <w:rFonts w:eastAsia="Times New Roman"/>
        </w:rPr>
        <w:t>(the Disability Act</w:t>
      </w:r>
      <w:r w:rsidRPr="005C6E24">
        <w:rPr>
          <w:rFonts w:eastAsia="Times New Roman"/>
        </w:rPr>
        <w:t>)</w:t>
      </w:r>
      <w:r w:rsidR="005C6E24">
        <w:rPr>
          <w:rFonts w:eastAsia="Times New Roman"/>
        </w:rPr>
        <w:t>,</w:t>
      </w:r>
      <w:r>
        <w:rPr>
          <w:rFonts w:eastAsia="Times New Roman"/>
        </w:rPr>
        <w:t xml:space="preserve"> </w:t>
      </w:r>
      <w:r w:rsidR="005C6E24">
        <w:rPr>
          <w:rFonts w:eastAsia="Times New Roman"/>
        </w:rPr>
        <w:t xml:space="preserve">as </w:t>
      </w:r>
      <w:r>
        <w:rPr>
          <w:rFonts w:eastAsia="Times New Roman"/>
        </w:rPr>
        <w:t>the use of medication or chemical substance for the primary purpose of influencing a person’s behaviour. It does not include the use of medication prescribed by a medical practitioner for the treatment of, or to enable the treatment of, a diagnosed mental disorder, physical illness or physical condition.</w:t>
      </w:r>
    </w:p>
    <w:p w14:paraId="56F461BD" w14:textId="374766A3" w:rsidR="00550985" w:rsidRDefault="00550985" w:rsidP="000D3F63">
      <w:pPr>
        <w:pStyle w:val="Body"/>
        <w:rPr>
          <w:rFonts w:eastAsia="Times New Roman"/>
        </w:rPr>
      </w:pPr>
      <w:r>
        <w:rPr>
          <w:rFonts w:eastAsia="Times New Roman"/>
        </w:rPr>
        <w:t xml:space="preserve">The use of chemical restraint should be closely monitored (for both effectiveness and side effects) and regularly reviewed. Successful withdrawal of chemical restraint will require multidisciplinary input with the support of family and carers. The behaviour support plans should include fade out plans </w:t>
      </w:r>
      <w:r w:rsidR="005C6E24">
        <w:rPr>
          <w:rFonts w:eastAsia="Times New Roman"/>
        </w:rPr>
        <w:t xml:space="preserve">that </w:t>
      </w:r>
      <w:r>
        <w:rPr>
          <w:rFonts w:eastAsia="Times New Roman"/>
        </w:rPr>
        <w:t>outlin</w:t>
      </w:r>
      <w:r w:rsidR="005C6E24">
        <w:rPr>
          <w:rFonts w:eastAsia="Times New Roman"/>
        </w:rPr>
        <w:t>e</w:t>
      </w:r>
      <w:r>
        <w:rPr>
          <w:rFonts w:eastAsia="Times New Roman"/>
        </w:rPr>
        <w:t xml:space="preserve"> response strategies to BOCs during the withdrawal process of chemical restraints.</w:t>
      </w:r>
    </w:p>
    <w:p w14:paraId="785670C4" w14:textId="31A51868" w:rsidR="00550985" w:rsidRDefault="005C6E24" w:rsidP="005F1F2C">
      <w:pPr>
        <w:pStyle w:val="Tablecaption"/>
      </w:pPr>
      <w:r>
        <w:t xml:space="preserve">Table 1. </w:t>
      </w:r>
      <w:r w:rsidR="00550985">
        <w:t>Common adverse effects of stopping or reducing the dose of an antipsychotic [NB1] [NB2] [NB3]</w:t>
      </w:r>
    </w:p>
    <w:tbl>
      <w:tblPr>
        <w:tblStyle w:val="TableGrid"/>
        <w:tblW w:w="0" w:type="auto"/>
        <w:tblLook w:val="06A0" w:firstRow="1" w:lastRow="0" w:firstColumn="1" w:lastColumn="0" w:noHBand="1" w:noVBand="1"/>
      </w:tblPr>
      <w:tblGrid>
        <w:gridCol w:w="5097"/>
        <w:gridCol w:w="5097"/>
      </w:tblGrid>
      <w:tr w:rsidR="00550985" w14:paraId="66B68EA3" w14:textId="77777777" w:rsidTr="005F1F2C">
        <w:trPr>
          <w:tblHeader/>
        </w:trPr>
        <w:tc>
          <w:tcPr>
            <w:tcW w:w="5097" w:type="dxa"/>
          </w:tcPr>
          <w:p w14:paraId="2730F8A1" w14:textId="77777777" w:rsidR="00550985" w:rsidRDefault="00550985" w:rsidP="000D3F63">
            <w:pPr>
              <w:pStyle w:val="Tablecolhead"/>
            </w:pPr>
            <w:r>
              <w:t>Antipsychotic</w:t>
            </w:r>
          </w:p>
        </w:tc>
        <w:tc>
          <w:tcPr>
            <w:tcW w:w="5097" w:type="dxa"/>
          </w:tcPr>
          <w:p w14:paraId="1CBF01D8" w14:textId="77777777" w:rsidR="00550985" w:rsidRDefault="00550985" w:rsidP="000D3F63">
            <w:pPr>
              <w:pStyle w:val="Tablecolhead"/>
            </w:pPr>
            <w:r>
              <w:t>Common adverse effects of stopping therapy or reducing the dose</w:t>
            </w:r>
          </w:p>
        </w:tc>
      </w:tr>
      <w:tr w:rsidR="00550985" w14:paraId="1AF8FC19" w14:textId="77777777" w:rsidTr="005F1F2C">
        <w:tc>
          <w:tcPr>
            <w:tcW w:w="5097" w:type="dxa"/>
          </w:tcPr>
          <w:p w14:paraId="048AF4E3" w14:textId="77777777" w:rsidR="00550985" w:rsidRDefault="00550985" w:rsidP="000D3F63">
            <w:pPr>
              <w:pStyle w:val="Tabletext"/>
            </w:pPr>
            <w:r>
              <w:t>Amisulpride (Brand names: Solian</w:t>
            </w:r>
            <w:r>
              <w:rPr>
                <w:rFonts w:cs="Arial"/>
              </w:rPr>
              <w:t>®</w:t>
            </w:r>
            <w:r>
              <w:t>, Sulprix</w:t>
            </w:r>
            <w:r>
              <w:rPr>
                <w:rFonts w:cs="Arial"/>
              </w:rPr>
              <w:t>®</w:t>
            </w:r>
            <w:r>
              <w:t>)</w:t>
            </w:r>
          </w:p>
        </w:tc>
        <w:tc>
          <w:tcPr>
            <w:tcW w:w="5097" w:type="dxa"/>
          </w:tcPr>
          <w:p w14:paraId="61E14AA1" w14:textId="77777777" w:rsidR="00550985" w:rsidRDefault="00550985" w:rsidP="000D3F63">
            <w:pPr>
              <w:pStyle w:val="Tabletext"/>
            </w:pPr>
            <w:r>
              <w:t>Increased risk of unplanned pregnancy due to decrease in blood prolactin concentration</w:t>
            </w:r>
          </w:p>
        </w:tc>
      </w:tr>
      <w:tr w:rsidR="00550985" w14:paraId="48CBFF37" w14:textId="77777777" w:rsidTr="005F1F2C">
        <w:tc>
          <w:tcPr>
            <w:tcW w:w="5097" w:type="dxa"/>
          </w:tcPr>
          <w:p w14:paraId="5CEC1D5A" w14:textId="77777777" w:rsidR="00550985" w:rsidRDefault="00550985" w:rsidP="000D3F63">
            <w:pPr>
              <w:pStyle w:val="Tabletext"/>
            </w:pPr>
            <w:r>
              <w:t>Aripiprazole (Brand names: Abilify</w:t>
            </w:r>
            <w:r>
              <w:rPr>
                <w:rFonts w:cs="Arial"/>
              </w:rPr>
              <w:t>®</w:t>
            </w:r>
            <w:r>
              <w:t>, Abyraz</w:t>
            </w:r>
            <w:r>
              <w:rPr>
                <w:rFonts w:cs="Arial"/>
              </w:rPr>
              <w:t>®</w:t>
            </w:r>
            <w:r>
              <w:t>, Tevaripiprazole</w:t>
            </w:r>
            <w:r>
              <w:rPr>
                <w:rFonts w:cs="Arial"/>
              </w:rPr>
              <w:t>®)</w:t>
            </w:r>
          </w:p>
        </w:tc>
        <w:tc>
          <w:tcPr>
            <w:tcW w:w="5097" w:type="dxa"/>
          </w:tcPr>
          <w:p w14:paraId="692EF077" w14:textId="77777777" w:rsidR="00550985" w:rsidRDefault="00550985" w:rsidP="000D3F63">
            <w:pPr>
              <w:pStyle w:val="Tabletext"/>
            </w:pPr>
            <w:r>
              <w:t>No specific adverse effects [NB2]</w:t>
            </w:r>
          </w:p>
        </w:tc>
      </w:tr>
      <w:tr w:rsidR="00550985" w14:paraId="43270DF0" w14:textId="77777777" w:rsidTr="005F1F2C">
        <w:tc>
          <w:tcPr>
            <w:tcW w:w="5097" w:type="dxa"/>
          </w:tcPr>
          <w:p w14:paraId="550AAFBB" w14:textId="77777777" w:rsidR="00550985" w:rsidRDefault="00550985" w:rsidP="000D3F63">
            <w:pPr>
              <w:pStyle w:val="Tabletext"/>
            </w:pPr>
            <w:r>
              <w:t xml:space="preserve">Asenapine (Brand name: Saphris </w:t>
            </w:r>
            <w:r>
              <w:rPr>
                <w:rFonts w:cs="Arial"/>
              </w:rPr>
              <w:t>®</w:t>
            </w:r>
            <w:r>
              <w:t>)</w:t>
            </w:r>
          </w:p>
        </w:tc>
        <w:tc>
          <w:tcPr>
            <w:tcW w:w="5097" w:type="dxa"/>
          </w:tcPr>
          <w:p w14:paraId="16046F1B" w14:textId="77777777" w:rsidR="00550985" w:rsidRDefault="00550985" w:rsidP="000D3F63">
            <w:pPr>
              <w:pStyle w:val="Tabletext"/>
            </w:pPr>
            <w:r>
              <w:t>No specific adverse effects [NB2]</w:t>
            </w:r>
          </w:p>
        </w:tc>
      </w:tr>
      <w:tr w:rsidR="00550985" w14:paraId="6B1A7343" w14:textId="77777777" w:rsidTr="005F1F2C">
        <w:tc>
          <w:tcPr>
            <w:tcW w:w="5097" w:type="dxa"/>
          </w:tcPr>
          <w:p w14:paraId="4C4E93B1" w14:textId="77777777" w:rsidR="00550985" w:rsidRDefault="00550985" w:rsidP="000D3F63">
            <w:pPr>
              <w:pStyle w:val="Tabletext"/>
            </w:pPr>
            <w:r>
              <w:t>Brexpiprazole (Brand name: Rexulti</w:t>
            </w:r>
            <w:r>
              <w:rPr>
                <w:rFonts w:cs="Arial"/>
              </w:rPr>
              <w:t>®</w:t>
            </w:r>
            <w:r>
              <w:t>)</w:t>
            </w:r>
          </w:p>
        </w:tc>
        <w:tc>
          <w:tcPr>
            <w:tcW w:w="5097" w:type="dxa"/>
          </w:tcPr>
          <w:p w14:paraId="7D84CF87" w14:textId="77777777" w:rsidR="00550985" w:rsidRDefault="00550985" w:rsidP="000D3F63">
            <w:pPr>
              <w:pStyle w:val="Tabletext"/>
            </w:pPr>
            <w:r>
              <w:t>No specific adverse effects [NB2]</w:t>
            </w:r>
          </w:p>
        </w:tc>
      </w:tr>
      <w:tr w:rsidR="00550985" w14:paraId="6BEB8601" w14:textId="77777777" w:rsidTr="005F1F2C">
        <w:tc>
          <w:tcPr>
            <w:tcW w:w="5097" w:type="dxa"/>
          </w:tcPr>
          <w:p w14:paraId="70C4D00A" w14:textId="77777777" w:rsidR="00550985" w:rsidRDefault="00550985" w:rsidP="000D3F63">
            <w:pPr>
              <w:pStyle w:val="Tabletext"/>
            </w:pPr>
            <w:r>
              <w:t>Chlorpromazine (Brand name: Largactil</w:t>
            </w:r>
            <w:r>
              <w:rPr>
                <w:rFonts w:cs="Arial"/>
              </w:rPr>
              <w:t>®</w:t>
            </w:r>
            <w:r>
              <w:t>)</w:t>
            </w:r>
          </w:p>
        </w:tc>
        <w:tc>
          <w:tcPr>
            <w:tcW w:w="5097" w:type="dxa"/>
          </w:tcPr>
          <w:p w14:paraId="496E15D4" w14:textId="77777777" w:rsidR="00550985" w:rsidRDefault="00550985" w:rsidP="005F1F2C">
            <w:pPr>
              <w:pStyle w:val="Tablebullet1"/>
            </w:pPr>
            <w:r>
              <w:t>Agitation because of decreased sedation [NB4]</w:t>
            </w:r>
          </w:p>
          <w:p w14:paraId="1F484C25" w14:textId="77777777" w:rsidR="00550985" w:rsidRDefault="00550985" w:rsidP="005F1F2C">
            <w:pPr>
              <w:pStyle w:val="Tablebullet1"/>
            </w:pPr>
            <w:r>
              <w:t>Insomnia [NB4]</w:t>
            </w:r>
          </w:p>
          <w:p w14:paraId="339DF106" w14:textId="77777777" w:rsidR="00550985" w:rsidRDefault="00550985" w:rsidP="005F1F2C">
            <w:pPr>
              <w:pStyle w:val="Tablebullet1"/>
            </w:pPr>
            <w:r>
              <w:t>Increased risk of unplanned pregnancy due to decrease in blood prolactin concentration</w:t>
            </w:r>
          </w:p>
          <w:p w14:paraId="4D3434E4" w14:textId="77777777" w:rsidR="00550985" w:rsidRDefault="00550985" w:rsidP="005F1F2C">
            <w:pPr>
              <w:pStyle w:val="Tablebullet1"/>
            </w:pPr>
            <w:r>
              <w:t>Movement disorder</w:t>
            </w:r>
          </w:p>
          <w:p w14:paraId="66DDF421" w14:textId="77777777" w:rsidR="00550985" w:rsidRDefault="00550985" w:rsidP="005F1F2C">
            <w:pPr>
              <w:pStyle w:val="Tablebullet1"/>
            </w:pPr>
            <w:r>
              <w:t xml:space="preserve">Cholinergic rebound syndrome </w:t>
            </w:r>
          </w:p>
        </w:tc>
      </w:tr>
      <w:tr w:rsidR="00550985" w14:paraId="3F65E8B9" w14:textId="77777777" w:rsidTr="005F1F2C">
        <w:tc>
          <w:tcPr>
            <w:tcW w:w="5097" w:type="dxa"/>
          </w:tcPr>
          <w:p w14:paraId="4580C368" w14:textId="77777777" w:rsidR="00550985" w:rsidRDefault="00550985" w:rsidP="000D3F63">
            <w:pPr>
              <w:pStyle w:val="Tabletext"/>
            </w:pPr>
            <w:r>
              <w:t>Clozapine (Brand names: Clozaril</w:t>
            </w:r>
            <w:r>
              <w:rPr>
                <w:rFonts w:cs="Arial"/>
              </w:rPr>
              <w:t>®</w:t>
            </w:r>
            <w:r>
              <w:t>, Clopine</w:t>
            </w:r>
            <w:r>
              <w:rPr>
                <w:rFonts w:cs="Arial"/>
              </w:rPr>
              <w:t>®</w:t>
            </w:r>
            <w:r>
              <w:t>) [NB5]</w:t>
            </w:r>
          </w:p>
        </w:tc>
        <w:tc>
          <w:tcPr>
            <w:tcW w:w="5097" w:type="dxa"/>
          </w:tcPr>
          <w:p w14:paraId="77D54E1C" w14:textId="77777777" w:rsidR="00550985" w:rsidRDefault="00550985" w:rsidP="005F1F2C">
            <w:pPr>
              <w:pStyle w:val="Tablebullet1"/>
            </w:pPr>
            <w:r>
              <w:t>Agitation because of decreased sedation [NB4]</w:t>
            </w:r>
          </w:p>
          <w:p w14:paraId="4D228680" w14:textId="77777777" w:rsidR="00550985" w:rsidRDefault="00550985" w:rsidP="005F1F2C">
            <w:pPr>
              <w:pStyle w:val="Tablebullet1"/>
            </w:pPr>
            <w:r>
              <w:t>Insomnia [NB4]</w:t>
            </w:r>
          </w:p>
          <w:p w14:paraId="408EBFEE" w14:textId="77777777" w:rsidR="00550985" w:rsidRDefault="00550985" w:rsidP="005F1F2C">
            <w:pPr>
              <w:pStyle w:val="Tablebullet1"/>
            </w:pPr>
            <w:r>
              <w:t xml:space="preserve">Cholinergic rebound syndrome </w:t>
            </w:r>
          </w:p>
        </w:tc>
      </w:tr>
      <w:tr w:rsidR="00550985" w14:paraId="2EFFDBF5" w14:textId="77777777" w:rsidTr="005F1F2C">
        <w:tc>
          <w:tcPr>
            <w:tcW w:w="5097" w:type="dxa"/>
          </w:tcPr>
          <w:p w14:paraId="439DE430" w14:textId="77777777" w:rsidR="00550985" w:rsidRDefault="00550985" w:rsidP="000D3F63">
            <w:pPr>
              <w:pStyle w:val="Tabletext"/>
            </w:pPr>
            <w:r>
              <w:lastRenderedPageBreak/>
              <w:t>Flupentixol (Brand name: Fluanxol Depot</w:t>
            </w:r>
            <w:r>
              <w:rPr>
                <w:rFonts w:cs="Arial"/>
              </w:rPr>
              <w:t>®</w:t>
            </w:r>
            <w:r>
              <w:t>)</w:t>
            </w:r>
          </w:p>
        </w:tc>
        <w:tc>
          <w:tcPr>
            <w:tcW w:w="5097" w:type="dxa"/>
          </w:tcPr>
          <w:p w14:paraId="1B47DD42" w14:textId="77777777" w:rsidR="00550985" w:rsidRDefault="00550985" w:rsidP="000D3F63">
            <w:pPr>
              <w:pStyle w:val="Tabletext"/>
            </w:pPr>
            <w:r>
              <w:t>Increased risk of unplanned pregnancy due to decrease in blood prolactin concentration</w:t>
            </w:r>
          </w:p>
        </w:tc>
      </w:tr>
      <w:tr w:rsidR="00550985" w14:paraId="0D56BF44" w14:textId="77777777" w:rsidTr="005F1F2C">
        <w:tc>
          <w:tcPr>
            <w:tcW w:w="5097" w:type="dxa"/>
          </w:tcPr>
          <w:p w14:paraId="28A61B93" w14:textId="77777777" w:rsidR="00550985" w:rsidRDefault="00550985" w:rsidP="000D3F63">
            <w:pPr>
              <w:pStyle w:val="Tabletext"/>
            </w:pPr>
            <w:r>
              <w:t>Haloperidol (Brand names: Serenace</w:t>
            </w:r>
            <w:r>
              <w:rPr>
                <w:rFonts w:cs="Arial"/>
              </w:rPr>
              <w:t>®</w:t>
            </w:r>
            <w:r>
              <w:t>, Haldol</w:t>
            </w:r>
            <w:r>
              <w:rPr>
                <w:rFonts w:cs="Arial"/>
              </w:rPr>
              <w:t>®</w:t>
            </w:r>
            <w:r>
              <w:t>)</w:t>
            </w:r>
          </w:p>
        </w:tc>
        <w:tc>
          <w:tcPr>
            <w:tcW w:w="5097" w:type="dxa"/>
          </w:tcPr>
          <w:p w14:paraId="077C9A84" w14:textId="77777777" w:rsidR="00550985" w:rsidRDefault="00550985" w:rsidP="005F1F2C">
            <w:pPr>
              <w:pStyle w:val="Tablebullet1"/>
            </w:pPr>
            <w:r>
              <w:t>Increased risk of unplanned pregnancy due to decrease in blood prolactin concentration</w:t>
            </w:r>
          </w:p>
          <w:p w14:paraId="524071B3" w14:textId="77777777" w:rsidR="00550985" w:rsidRDefault="00550985" w:rsidP="005F1F2C">
            <w:pPr>
              <w:pStyle w:val="Tablebullet1"/>
            </w:pPr>
            <w:r>
              <w:t>Movement disorders</w:t>
            </w:r>
          </w:p>
        </w:tc>
      </w:tr>
      <w:tr w:rsidR="00550985" w14:paraId="40E6F182" w14:textId="77777777" w:rsidTr="005F1F2C">
        <w:tc>
          <w:tcPr>
            <w:tcW w:w="5097" w:type="dxa"/>
          </w:tcPr>
          <w:p w14:paraId="53F44202" w14:textId="77777777" w:rsidR="00550985" w:rsidRDefault="00550985" w:rsidP="000D3F63">
            <w:pPr>
              <w:pStyle w:val="Tabletext"/>
            </w:pPr>
            <w:r>
              <w:t>Olanzapine (Brand names: Zyprexa</w:t>
            </w:r>
            <w:r>
              <w:rPr>
                <w:rFonts w:cs="Arial"/>
              </w:rPr>
              <w:t>®</w:t>
            </w:r>
            <w:r>
              <w:t>, Ozin</w:t>
            </w:r>
            <w:r>
              <w:rPr>
                <w:rFonts w:cs="Arial"/>
              </w:rPr>
              <w:t>®</w:t>
            </w:r>
            <w:r>
              <w:t>, Pryzex</w:t>
            </w:r>
            <w:r>
              <w:rPr>
                <w:rFonts w:cs="Arial"/>
              </w:rPr>
              <w:t>®</w:t>
            </w:r>
            <w:r>
              <w:t>, Zypine</w:t>
            </w:r>
            <w:r>
              <w:rPr>
                <w:rFonts w:cs="Arial"/>
              </w:rPr>
              <w:t>®</w:t>
            </w:r>
            <w:r>
              <w:t>)</w:t>
            </w:r>
          </w:p>
        </w:tc>
        <w:tc>
          <w:tcPr>
            <w:tcW w:w="5097" w:type="dxa"/>
          </w:tcPr>
          <w:p w14:paraId="5C952A4E" w14:textId="77777777" w:rsidR="00550985" w:rsidRDefault="00550985" w:rsidP="005F1F2C">
            <w:pPr>
              <w:pStyle w:val="Tablebullet1"/>
            </w:pPr>
            <w:r>
              <w:t>Agitation because of decreased sedation [NB4]</w:t>
            </w:r>
          </w:p>
          <w:p w14:paraId="6184DB89" w14:textId="77777777" w:rsidR="00550985" w:rsidRDefault="00550985" w:rsidP="005F1F2C">
            <w:pPr>
              <w:pStyle w:val="Tablebullet1"/>
            </w:pPr>
            <w:r>
              <w:t>Insomnia [NB4]</w:t>
            </w:r>
          </w:p>
        </w:tc>
      </w:tr>
      <w:tr w:rsidR="00550985" w14:paraId="4ED19128" w14:textId="77777777" w:rsidTr="005F1F2C">
        <w:tc>
          <w:tcPr>
            <w:tcW w:w="5097" w:type="dxa"/>
          </w:tcPr>
          <w:p w14:paraId="76CBE0CA" w14:textId="77777777" w:rsidR="00550985" w:rsidRDefault="00550985" w:rsidP="000D3F63">
            <w:pPr>
              <w:pStyle w:val="Tabletext"/>
            </w:pPr>
            <w:r>
              <w:t>Paliperidone (Brand name: Invega</w:t>
            </w:r>
            <w:r>
              <w:rPr>
                <w:rFonts w:cs="Arial"/>
              </w:rPr>
              <w:t>®</w:t>
            </w:r>
            <w:r>
              <w:t>)</w:t>
            </w:r>
          </w:p>
        </w:tc>
        <w:tc>
          <w:tcPr>
            <w:tcW w:w="5097" w:type="dxa"/>
          </w:tcPr>
          <w:p w14:paraId="067B9A0D" w14:textId="77777777" w:rsidR="00550985" w:rsidRDefault="00550985" w:rsidP="000D3F63">
            <w:pPr>
              <w:pStyle w:val="Tabletext"/>
            </w:pPr>
            <w:r>
              <w:t>Increased risk of unplanned pregnancy due to decrease in blood prolactin concentration</w:t>
            </w:r>
          </w:p>
        </w:tc>
      </w:tr>
      <w:tr w:rsidR="00550985" w14:paraId="467F00A6" w14:textId="77777777" w:rsidTr="005F1F2C">
        <w:tc>
          <w:tcPr>
            <w:tcW w:w="5097" w:type="dxa"/>
          </w:tcPr>
          <w:p w14:paraId="58BA7A5B" w14:textId="77777777" w:rsidR="00550985" w:rsidRDefault="00550985" w:rsidP="000D3F63">
            <w:pPr>
              <w:pStyle w:val="Tabletext"/>
            </w:pPr>
            <w:r>
              <w:t>Periciazine (Brand name: Neulactil</w:t>
            </w:r>
            <w:r>
              <w:rPr>
                <w:rFonts w:cs="Arial"/>
              </w:rPr>
              <w:t>®</w:t>
            </w:r>
            <w:r>
              <w:t>)</w:t>
            </w:r>
          </w:p>
        </w:tc>
        <w:tc>
          <w:tcPr>
            <w:tcW w:w="5097" w:type="dxa"/>
          </w:tcPr>
          <w:p w14:paraId="04F4D233" w14:textId="77777777" w:rsidR="00550985" w:rsidRDefault="00550985" w:rsidP="005F1F2C">
            <w:pPr>
              <w:pStyle w:val="Tablebullet1"/>
            </w:pPr>
            <w:r>
              <w:t>Agitation because of decreased sedation [NB4]</w:t>
            </w:r>
          </w:p>
          <w:p w14:paraId="3F309989" w14:textId="77777777" w:rsidR="00550985" w:rsidRDefault="00550985" w:rsidP="005F1F2C">
            <w:pPr>
              <w:pStyle w:val="Tablebullet1"/>
            </w:pPr>
            <w:r>
              <w:t>Insomnia [NB4]</w:t>
            </w:r>
          </w:p>
        </w:tc>
      </w:tr>
      <w:tr w:rsidR="00550985" w14:paraId="7CE52380" w14:textId="77777777" w:rsidTr="005F1F2C">
        <w:tc>
          <w:tcPr>
            <w:tcW w:w="5097" w:type="dxa"/>
          </w:tcPr>
          <w:p w14:paraId="1148BF04" w14:textId="77777777" w:rsidR="00550985" w:rsidRDefault="00550985" w:rsidP="000D3F63">
            <w:pPr>
              <w:pStyle w:val="Tabletext"/>
            </w:pPr>
            <w:r>
              <w:t>Quetiapine (Brand names: Seroquel</w:t>
            </w:r>
            <w:r>
              <w:rPr>
                <w:rFonts w:cs="Arial"/>
              </w:rPr>
              <w:t>®</w:t>
            </w:r>
            <w:r>
              <w:t>, Kaptan</w:t>
            </w:r>
            <w:r>
              <w:rPr>
                <w:rFonts w:cs="Arial"/>
              </w:rPr>
              <w:t>®</w:t>
            </w:r>
            <w:r>
              <w:t>, Quetia</w:t>
            </w:r>
            <w:r>
              <w:rPr>
                <w:rFonts w:cs="Arial"/>
              </w:rPr>
              <w:t>®</w:t>
            </w:r>
            <w:r>
              <w:t>, Syquet</w:t>
            </w:r>
            <w:r>
              <w:rPr>
                <w:rFonts w:cs="Arial"/>
              </w:rPr>
              <w:t>®</w:t>
            </w:r>
            <w:r>
              <w:t>, Tevatiapine</w:t>
            </w:r>
            <w:r>
              <w:rPr>
                <w:rFonts w:cs="Arial"/>
              </w:rPr>
              <w:t>®</w:t>
            </w:r>
            <w:r>
              <w:t>)</w:t>
            </w:r>
          </w:p>
        </w:tc>
        <w:tc>
          <w:tcPr>
            <w:tcW w:w="5097" w:type="dxa"/>
          </w:tcPr>
          <w:p w14:paraId="2ED4C6B5" w14:textId="77777777" w:rsidR="00550985" w:rsidRDefault="00550985" w:rsidP="005F1F2C">
            <w:pPr>
              <w:pStyle w:val="Tablebullet1"/>
            </w:pPr>
            <w:r>
              <w:t>Agitation because of decreased sedation [NB4]</w:t>
            </w:r>
          </w:p>
          <w:p w14:paraId="33D7E7D2" w14:textId="77777777" w:rsidR="00550985" w:rsidRDefault="00550985" w:rsidP="005F1F2C">
            <w:pPr>
              <w:pStyle w:val="Tablebullet1"/>
            </w:pPr>
            <w:r>
              <w:t>Insomnia [NB4]</w:t>
            </w:r>
          </w:p>
        </w:tc>
      </w:tr>
      <w:tr w:rsidR="00550985" w14:paraId="64A90FF9" w14:textId="77777777" w:rsidTr="005F1F2C">
        <w:tc>
          <w:tcPr>
            <w:tcW w:w="5097" w:type="dxa"/>
          </w:tcPr>
          <w:p w14:paraId="7D8FD8E3" w14:textId="77777777" w:rsidR="00550985" w:rsidRDefault="00550985" w:rsidP="000D3F63">
            <w:pPr>
              <w:pStyle w:val="Tabletext"/>
            </w:pPr>
            <w:r>
              <w:t>Risperidone (Brand names: Risperdal</w:t>
            </w:r>
            <w:r>
              <w:rPr>
                <w:rFonts w:cs="Arial"/>
              </w:rPr>
              <w:t>®</w:t>
            </w:r>
            <w:r>
              <w:t>, Rispa</w:t>
            </w:r>
            <w:r>
              <w:rPr>
                <w:rFonts w:cs="Arial"/>
              </w:rPr>
              <w:t>®</w:t>
            </w:r>
            <w:r>
              <w:t>, Rispernia</w:t>
            </w:r>
            <w:r>
              <w:rPr>
                <w:rFonts w:cs="Arial"/>
              </w:rPr>
              <w:t>®</w:t>
            </w:r>
            <w:r>
              <w:t>, Rixadone</w:t>
            </w:r>
            <w:r>
              <w:rPr>
                <w:rFonts w:cs="Arial"/>
              </w:rPr>
              <w:t>®</w:t>
            </w:r>
            <w:r>
              <w:t>, Ozidal</w:t>
            </w:r>
            <w:r>
              <w:rPr>
                <w:rFonts w:cs="Arial"/>
              </w:rPr>
              <w:t>®</w:t>
            </w:r>
            <w:r>
              <w:t>)</w:t>
            </w:r>
          </w:p>
        </w:tc>
        <w:tc>
          <w:tcPr>
            <w:tcW w:w="5097" w:type="dxa"/>
          </w:tcPr>
          <w:p w14:paraId="1280722E" w14:textId="77777777" w:rsidR="00550985" w:rsidRDefault="00550985" w:rsidP="000D3F63">
            <w:pPr>
              <w:pStyle w:val="Tabletext"/>
            </w:pPr>
            <w:r>
              <w:t>Increased risk of unplanned pregnancy due to decrease in blood prolactin concentration</w:t>
            </w:r>
          </w:p>
        </w:tc>
      </w:tr>
      <w:tr w:rsidR="00550985" w14:paraId="43996BD9" w14:textId="77777777" w:rsidTr="005F1F2C">
        <w:tc>
          <w:tcPr>
            <w:tcW w:w="5097" w:type="dxa"/>
            <w:tcBorders>
              <w:bottom w:val="single" w:sz="4" w:space="0" w:color="auto"/>
            </w:tcBorders>
          </w:tcPr>
          <w:p w14:paraId="44D6A550" w14:textId="77777777" w:rsidR="00550985" w:rsidRDefault="00550985" w:rsidP="000D3F63">
            <w:pPr>
              <w:pStyle w:val="Tabletext"/>
            </w:pPr>
            <w:r>
              <w:t>Ziprasidone (Brand names: Zeldox</w:t>
            </w:r>
            <w:r>
              <w:rPr>
                <w:rFonts w:cs="Arial"/>
              </w:rPr>
              <w:t>®</w:t>
            </w:r>
            <w:r>
              <w:t>, Ziprox</w:t>
            </w:r>
            <w:r>
              <w:rPr>
                <w:rFonts w:cs="Arial"/>
              </w:rPr>
              <w:t>®</w:t>
            </w:r>
            <w:r>
              <w:t>)</w:t>
            </w:r>
          </w:p>
        </w:tc>
        <w:tc>
          <w:tcPr>
            <w:tcW w:w="5097" w:type="dxa"/>
            <w:tcBorders>
              <w:bottom w:val="single" w:sz="4" w:space="0" w:color="auto"/>
            </w:tcBorders>
          </w:tcPr>
          <w:p w14:paraId="7990D071" w14:textId="77777777" w:rsidR="00550985" w:rsidRDefault="00550985" w:rsidP="000D3F63">
            <w:pPr>
              <w:pStyle w:val="Tabletext"/>
            </w:pPr>
            <w:r>
              <w:t>No specific adverse effects [NB2]</w:t>
            </w:r>
          </w:p>
        </w:tc>
      </w:tr>
      <w:tr w:rsidR="00550985" w14:paraId="482FA332" w14:textId="77777777" w:rsidTr="005F1F2C">
        <w:tc>
          <w:tcPr>
            <w:tcW w:w="5097" w:type="dxa"/>
            <w:tcBorders>
              <w:bottom w:val="single" w:sz="4" w:space="0" w:color="auto"/>
            </w:tcBorders>
          </w:tcPr>
          <w:p w14:paraId="6FCB33C7" w14:textId="77777777" w:rsidR="00550985" w:rsidRDefault="00550985" w:rsidP="000D3F63">
            <w:pPr>
              <w:pStyle w:val="Tabletext"/>
            </w:pPr>
            <w:r>
              <w:t>Zuclopenthixol (Brand name: Clopixol</w:t>
            </w:r>
            <w:r>
              <w:rPr>
                <w:rFonts w:cs="Arial"/>
              </w:rPr>
              <w:t>®</w:t>
            </w:r>
            <w:r>
              <w:t>)</w:t>
            </w:r>
          </w:p>
        </w:tc>
        <w:tc>
          <w:tcPr>
            <w:tcW w:w="5097" w:type="dxa"/>
            <w:tcBorders>
              <w:bottom w:val="single" w:sz="4" w:space="0" w:color="auto"/>
            </w:tcBorders>
          </w:tcPr>
          <w:p w14:paraId="618E523A" w14:textId="77777777" w:rsidR="00550985" w:rsidRDefault="00550985" w:rsidP="005F1F2C">
            <w:pPr>
              <w:pStyle w:val="Tablebullet1"/>
            </w:pPr>
            <w:r>
              <w:t>Agitation because of decreased sedation [NB4]</w:t>
            </w:r>
          </w:p>
          <w:p w14:paraId="2BF55B81" w14:textId="77777777" w:rsidR="00550985" w:rsidRDefault="00550985" w:rsidP="005F1F2C">
            <w:pPr>
              <w:pStyle w:val="Tablebullet1"/>
            </w:pPr>
            <w:r>
              <w:t>Insomnia [NB4]</w:t>
            </w:r>
          </w:p>
          <w:p w14:paraId="7EC434EF" w14:textId="77777777" w:rsidR="00550985" w:rsidRDefault="00550985" w:rsidP="005F1F2C">
            <w:pPr>
              <w:pStyle w:val="Tablebullet1"/>
            </w:pPr>
            <w:r>
              <w:t>Increased risk of unplanned pregnancy due to decrease in blood prolactin concentration</w:t>
            </w:r>
          </w:p>
        </w:tc>
      </w:tr>
    </w:tbl>
    <w:p w14:paraId="78E88CB6" w14:textId="7EDBEEEE" w:rsidR="00121F5A" w:rsidRDefault="00121F5A" w:rsidP="005F1F2C">
      <w:pPr>
        <w:pStyle w:val="Bodyaftertablefigure"/>
      </w:pPr>
      <w:r>
        <w:t>NB1: The information in this table is based on a combination of reported adverse effect data and expert opinion. It is intended as a guide only and should be interpreted in the context of the patient (for example, concurrent drugs, drug history, physical health, interindividual variation in pharmacokinetics).</w:t>
      </w:r>
    </w:p>
    <w:p w14:paraId="0C6B2372" w14:textId="50555F9E" w:rsidR="00121F5A" w:rsidRDefault="00121F5A" w:rsidP="00121F5A">
      <w:pPr>
        <w:pStyle w:val="Body"/>
        <w:rPr>
          <w:rFonts w:eastAsia="Times New Roman"/>
        </w:rPr>
      </w:pPr>
      <w:r>
        <w:rPr>
          <w:rFonts w:eastAsia="Times New Roman"/>
        </w:rPr>
        <w:t>NB2: For all antipsychotics except clozapine, stopping therapy or reducing the dose can cause movement disorders. The above table only includes this as an adverse effect for antipsychotics that are particularly likely to cause movement disorders. Movement disorders usually settle quickly when dose reduction is slowed. If this is ineffective, seek specialist advice. Rarely, these movement disorders become chronic and the antipsychotic may require prolonged dose reduction or, in the case of psychotic disorders, a switch to clozapine.</w:t>
      </w:r>
    </w:p>
    <w:p w14:paraId="053B93AD" w14:textId="77777777" w:rsidR="00121F5A" w:rsidRDefault="00121F5A" w:rsidP="00121F5A">
      <w:pPr>
        <w:pStyle w:val="Body"/>
        <w:rPr>
          <w:rFonts w:eastAsia="Times New Roman"/>
        </w:rPr>
      </w:pPr>
      <w:r>
        <w:rPr>
          <w:rFonts w:eastAsia="Times New Roman"/>
        </w:rPr>
        <w:t>NB3: Rapidly stopping an antipsychotic, particularly clozapine, can cause rebound psychosis, which is characterised by rapid symptom onset, pronounced positive symptoms, agitation and relative treatment resistance.</w:t>
      </w:r>
    </w:p>
    <w:p w14:paraId="599CFD5B" w14:textId="77777777" w:rsidR="00121F5A" w:rsidRDefault="00121F5A" w:rsidP="00121F5A">
      <w:pPr>
        <w:pStyle w:val="Body"/>
        <w:rPr>
          <w:rFonts w:eastAsia="Times New Roman"/>
        </w:rPr>
      </w:pPr>
      <w:r>
        <w:rPr>
          <w:rFonts w:eastAsia="Times New Roman"/>
        </w:rPr>
        <w:t>NB 4: If this problem is encountered, reduce the rate of dose reduction.</w:t>
      </w:r>
    </w:p>
    <w:p w14:paraId="1E7A8D9E" w14:textId="201EFC22" w:rsidR="00550985" w:rsidRDefault="00121F5A" w:rsidP="00121F5A">
      <w:pPr>
        <w:pStyle w:val="Body"/>
        <w:rPr>
          <w:rFonts w:eastAsia="Times New Roman"/>
        </w:rPr>
      </w:pPr>
      <w:r>
        <w:rPr>
          <w:rFonts w:eastAsia="Times New Roman"/>
        </w:rPr>
        <w:t>NB5: Clozapine must be stopped under psychiatrist supervision.</w:t>
      </w:r>
    </w:p>
    <w:p w14:paraId="5FBB5F9E" w14:textId="7EFA9A8B" w:rsidR="00121F5A" w:rsidRPr="00C3502D" w:rsidRDefault="00121F5A" w:rsidP="00121F5A">
      <w:pPr>
        <w:pStyle w:val="Body"/>
        <w:rPr>
          <w:rFonts w:eastAsia="Times New Roman"/>
        </w:rPr>
      </w:pPr>
      <w:r w:rsidRPr="00C3502D">
        <w:t>This information was reproduced with permission from ‘Stopping an antipsychotic’,</w:t>
      </w:r>
      <w:r w:rsidRPr="00C3502D">
        <w:rPr>
          <w:rStyle w:val="FootnoteReference"/>
        </w:rPr>
        <w:t xml:space="preserve"> </w:t>
      </w:r>
      <w:hyperlink r:id="rId22" w:history="1">
        <w:r w:rsidRPr="00C3502D">
          <w:rPr>
            <w:rStyle w:val="Hyperlink"/>
          </w:rPr>
          <w:t>Therapeutic Guidelines [digital]</w:t>
        </w:r>
      </w:hyperlink>
      <w:r w:rsidRPr="00C3502D">
        <w:rPr>
          <w:rStyle w:val="FootnoteReference"/>
          <w:vertAlign w:val="baseline"/>
        </w:rPr>
        <w:t xml:space="preserve"> </w:t>
      </w:r>
      <w:r w:rsidRPr="00C3502D">
        <w:t>&lt;</w:t>
      </w:r>
      <w:r w:rsidRPr="00C3502D">
        <w:rPr>
          <w:rStyle w:val="FootnoteReference"/>
          <w:vertAlign w:val="baseline"/>
        </w:rPr>
        <w:t>https://www.tg.org.au</w:t>
      </w:r>
      <w:r w:rsidRPr="00C3502D">
        <w:t>&gt;</w:t>
      </w:r>
      <w:r w:rsidRPr="00C3502D">
        <w:rPr>
          <w:rStyle w:val="FootnoteReference"/>
          <w:vertAlign w:val="baseline"/>
        </w:rPr>
        <w:t>, published March 2021.</w:t>
      </w:r>
    </w:p>
    <w:p w14:paraId="3AB27FA1" w14:textId="3D63EA88" w:rsidR="005C0329" w:rsidRDefault="005C0329">
      <w:pPr>
        <w:spacing w:after="0" w:line="240" w:lineRule="auto"/>
      </w:pPr>
      <w:r>
        <w:br w:type="page"/>
      </w:r>
    </w:p>
    <w:tbl>
      <w:tblPr>
        <w:tblStyle w:val="TableGrid"/>
        <w:tblW w:w="0" w:type="auto"/>
        <w:tblCellMar>
          <w:bottom w:w="108" w:type="dxa"/>
        </w:tblCellMar>
        <w:tblLook w:val="0600" w:firstRow="0" w:lastRow="0" w:firstColumn="0" w:lastColumn="0" w:noHBand="1" w:noVBand="1"/>
      </w:tblPr>
      <w:tblGrid>
        <w:gridCol w:w="10194"/>
      </w:tblGrid>
      <w:tr w:rsidR="00550985" w14:paraId="5D1E79B0" w14:textId="77777777" w:rsidTr="001A5912">
        <w:tc>
          <w:tcPr>
            <w:tcW w:w="10194" w:type="dxa"/>
          </w:tcPr>
          <w:p w14:paraId="00EFAE85" w14:textId="77777777" w:rsidR="005F1F2C" w:rsidRDefault="005F1F2C" w:rsidP="005F1F2C">
            <w:bookmarkStart w:id="2" w:name="_Hlk116479113"/>
            <w:bookmarkStart w:id="3" w:name="_Hlk37240926"/>
            <w:r>
              <w:lastRenderedPageBreak/>
              <w:t xml:space="preserve">To receive this document in another format, phone </w:t>
            </w:r>
            <w:r>
              <w:rPr>
                <w:lang w:eastAsia="en-AU"/>
              </w:rPr>
              <w:t xml:space="preserve">9096 8427 </w:t>
            </w:r>
            <w:r>
              <w:t>using the National Relay Service 13 36 77 if required, or email &lt;victorianseniorpractitioner@dffh.vic.gov.au&gt;</w:t>
            </w:r>
          </w:p>
          <w:p w14:paraId="0606DD1E" w14:textId="77777777" w:rsidR="005F1F2C" w:rsidRPr="0055119B" w:rsidRDefault="005F1F2C" w:rsidP="005F1F2C">
            <w:pPr>
              <w:pStyle w:val="Imprint"/>
            </w:pPr>
            <w:r w:rsidRPr="0055119B">
              <w:t>Authorised and published by the Victorian Government, 1 Treasury Place, Melbourne.</w:t>
            </w:r>
          </w:p>
          <w:p w14:paraId="249ED1AC" w14:textId="77777777" w:rsidR="00550985" w:rsidRDefault="005F1F2C" w:rsidP="001A5912">
            <w:pPr>
              <w:pStyle w:val="Imprint"/>
            </w:pPr>
            <w:r w:rsidRPr="0055119B">
              <w:t xml:space="preserve">© State of Victoria, Australia, Department </w:t>
            </w:r>
            <w:r w:rsidRPr="001B058F">
              <w:t xml:space="preserve">of </w:t>
            </w:r>
            <w:r>
              <w:t>Families, Fairness and Housing</w:t>
            </w:r>
            <w:r w:rsidRPr="0055119B">
              <w:t>,</w:t>
            </w:r>
            <w:r>
              <w:t xml:space="preserve"> October 2022.</w:t>
            </w:r>
          </w:p>
          <w:p w14:paraId="5555F17F" w14:textId="639EFD1C" w:rsidR="009D5EF6" w:rsidRPr="009D5EF6" w:rsidRDefault="009D5EF6" w:rsidP="001A5912">
            <w:pPr>
              <w:pStyle w:val="Imprint"/>
            </w:pPr>
            <w:r w:rsidRPr="009D5EF6">
              <w:rPr>
                <w:rFonts w:cs="Arial"/>
                <w:b/>
                <w:bCs/>
                <w:color w:val="000000"/>
              </w:rPr>
              <w:t xml:space="preserve">ISBN </w:t>
            </w:r>
            <w:r w:rsidRPr="009D5EF6">
              <w:rPr>
                <w:rFonts w:cs="Arial"/>
                <w:color w:val="000000"/>
              </w:rPr>
              <w:t xml:space="preserve">978-1-76130-039-4 </w:t>
            </w:r>
            <w:r w:rsidRPr="009D5EF6">
              <w:rPr>
                <w:rFonts w:cs="Arial"/>
                <w:b/>
                <w:bCs/>
                <w:color w:val="000000"/>
              </w:rPr>
              <w:t>(pdf/online/MS word)</w:t>
            </w:r>
          </w:p>
        </w:tc>
      </w:tr>
      <w:bookmarkEnd w:id="2"/>
      <w:bookmarkEnd w:id="3"/>
    </w:tbl>
    <w:p w14:paraId="312DEA78" w14:textId="26A25F59" w:rsidR="00162CA9" w:rsidRDefault="00162CA9" w:rsidP="005F1F2C">
      <w:pPr>
        <w:pStyle w:val="Body"/>
      </w:pPr>
    </w:p>
    <w:sectPr w:rsidR="00162CA9" w:rsidSect="00C3502D">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5706" w14:textId="77777777" w:rsidR="007E54D5" w:rsidRDefault="007E54D5">
      <w:r>
        <w:separator/>
      </w:r>
    </w:p>
    <w:p w14:paraId="53BB5639" w14:textId="77777777" w:rsidR="007E54D5" w:rsidRDefault="007E54D5"/>
  </w:endnote>
  <w:endnote w:type="continuationSeparator" w:id="0">
    <w:p w14:paraId="56423BCC" w14:textId="77777777" w:rsidR="007E54D5" w:rsidRDefault="007E54D5">
      <w:r>
        <w:continuationSeparator/>
      </w:r>
    </w:p>
    <w:p w14:paraId="45FCDDB9" w14:textId="77777777" w:rsidR="007E54D5" w:rsidRDefault="007E5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7D6C" w14:textId="77777777" w:rsidR="00C3502D" w:rsidRDefault="00C35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3D642E5" w:rsidR="00E261B3" w:rsidRPr="00F65AA9" w:rsidRDefault="005A60C9" w:rsidP="00EF2C72">
    <w:pPr>
      <w:pStyle w:val="Footer"/>
    </w:pPr>
    <w:r>
      <w:rPr>
        <w:noProof/>
        <w:lang w:eastAsia="en-AU"/>
      </w:rPr>
      <w:drawing>
        <wp:anchor distT="0" distB="0" distL="114300" distR="114300" simplePos="0" relativeHeight="251674624" behindDoc="1" locked="1" layoutInCell="1" allowOverlap="1" wp14:anchorId="5310FBBC" wp14:editId="46DF6652">
          <wp:simplePos x="0" y="0"/>
          <wp:positionH relativeFrom="page">
            <wp:align>left</wp:align>
          </wp:positionH>
          <wp:positionV relativeFrom="page">
            <wp:align>bottom</wp:align>
          </wp:positionV>
          <wp:extent cx="7560000" cy="792000"/>
          <wp:effectExtent l="0" t="0" r="0" b="0"/>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2069927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D140" w14:textId="16215F9F" w:rsidR="000D3F63" w:rsidRPr="00F65AA9" w:rsidRDefault="000D3F63" w:rsidP="00EF2C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03DDE021" w:rsidR="00593A99" w:rsidRPr="00F65AA9" w:rsidRDefault="005F1F2C" w:rsidP="00EF2C72">
    <w:pPr>
      <w:pStyle w:val="Footer"/>
    </w:pPr>
    <w:r>
      <w:rPr>
        <w:noProof/>
      </w:rPr>
      <mc:AlternateContent>
        <mc:Choice Requires="wps">
          <w:drawing>
            <wp:anchor distT="0" distB="0" distL="114300" distR="114300" simplePos="0" relativeHeight="251675648" behindDoc="0" locked="0" layoutInCell="0" allowOverlap="1" wp14:anchorId="71EC1246" wp14:editId="0A6D3C1B">
              <wp:simplePos x="0" y="0"/>
              <wp:positionH relativeFrom="page">
                <wp:posOffset>0</wp:posOffset>
              </wp:positionH>
              <wp:positionV relativeFrom="page">
                <wp:posOffset>10189210</wp:posOffset>
              </wp:positionV>
              <wp:extent cx="7560310" cy="311785"/>
              <wp:effectExtent l="0" t="0" r="0" b="12065"/>
              <wp:wrapNone/>
              <wp:docPr id="8" name="MSIPCM103c494c8b4112d6db2bd69f"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F6DB0" w14:textId="732333C2" w:rsidR="005F1F2C" w:rsidRPr="005F1F2C" w:rsidRDefault="005F1F2C" w:rsidP="005F1F2C">
                          <w:pPr>
                            <w:spacing w:after="0"/>
                            <w:jc w:val="center"/>
                            <w:rPr>
                              <w:rFonts w:ascii="Arial Black" w:hAnsi="Arial Black"/>
                              <w:color w:val="000000"/>
                              <w:sz w:val="20"/>
                            </w:rPr>
                          </w:pPr>
                          <w:r w:rsidRPr="005F1F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EC1246" id="_x0000_t202" coordsize="21600,21600" o:spt="202" path="m,l,21600r21600,l21600,xe">
              <v:stroke joinstyle="miter"/>
              <v:path gradientshapeok="t" o:connecttype="rect"/>
            </v:shapetype>
            <v:shape id="MSIPCM103c494c8b4112d6db2bd69f"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7FF6DB0" w14:textId="732333C2" w:rsidR="005F1F2C" w:rsidRPr="005F1F2C" w:rsidRDefault="005F1F2C" w:rsidP="005F1F2C">
                    <w:pPr>
                      <w:spacing w:after="0"/>
                      <w:jc w:val="center"/>
                      <w:rPr>
                        <w:rFonts w:ascii="Arial Black" w:hAnsi="Arial Black"/>
                        <w:color w:val="000000"/>
                        <w:sz w:val="20"/>
                      </w:rPr>
                    </w:pPr>
                    <w:r w:rsidRPr="005F1F2C">
                      <w:rPr>
                        <w:rFonts w:ascii="Arial Black" w:hAnsi="Arial Black"/>
                        <w:color w:val="000000"/>
                        <w:sz w:val="20"/>
                      </w:rPr>
                      <w:t>OFFICIAL</w:t>
                    </w:r>
                  </w:p>
                </w:txbxContent>
              </v:textbox>
              <w10:wrap anchorx="page" anchory="page"/>
            </v:shape>
          </w:pict>
        </mc:Fallback>
      </mc:AlternateContent>
    </w:r>
    <w:r w:rsidR="00200509">
      <w:rPr>
        <w:noProof/>
      </w:rPr>
      <mc:AlternateContent>
        <mc:Choice Requires="wps">
          <w:drawing>
            <wp:anchor distT="0" distB="0" distL="114300" distR="114300" simplePos="0" relativeHeight="251670528" behindDoc="0" locked="0" layoutInCell="0" allowOverlap="1" wp14:anchorId="7CDBB2AB" wp14:editId="0ABBEBC9">
              <wp:simplePos x="0" y="0"/>
              <wp:positionH relativeFrom="page">
                <wp:posOffset>0</wp:posOffset>
              </wp:positionH>
              <wp:positionV relativeFrom="page">
                <wp:posOffset>10189210</wp:posOffset>
              </wp:positionV>
              <wp:extent cx="7560310" cy="311785"/>
              <wp:effectExtent l="0" t="0" r="0" b="12065"/>
              <wp:wrapNone/>
              <wp:docPr id="2" name="MSIPCM62d54e43ad4eb6664dcaf16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CA259" w14:textId="60D70895" w:rsidR="00200509" w:rsidRPr="00200509" w:rsidRDefault="00200509" w:rsidP="00200509">
                          <w:pPr>
                            <w:spacing w:after="0"/>
                            <w:jc w:val="center"/>
                            <w:rPr>
                              <w:rFonts w:ascii="Arial Black" w:hAnsi="Arial Black"/>
                              <w:color w:val="000000"/>
                              <w:sz w:val="20"/>
                            </w:rPr>
                          </w:pPr>
                          <w:r w:rsidRPr="002005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DBB2AB" id="MSIPCM62d54e43ad4eb6664dcaf160"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CECA259" w14:textId="60D70895" w:rsidR="00200509" w:rsidRPr="00200509" w:rsidRDefault="00200509" w:rsidP="00200509">
                    <w:pPr>
                      <w:spacing w:after="0"/>
                      <w:jc w:val="center"/>
                      <w:rPr>
                        <w:rFonts w:ascii="Arial Black" w:hAnsi="Arial Black"/>
                        <w:color w:val="000000"/>
                        <w:sz w:val="20"/>
                      </w:rPr>
                    </w:pPr>
                    <w:r w:rsidRPr="0020050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BB3B" w14:textId="77777777" w:rsidR="007E54D5" w:rsidRDefault="007E54D5" w:rsidP="00207717">
      <w:pPr>
        <w:spacing w:before="120"/>
      </w:pPr>
      <w:r>
        <w:separator/>
      </w:r>
    </w:p>
  </w:footnote>
  <w:footnote w:type="continuationSeparator" w:id="0">
    <w:p w14:paraId="25457244" w14:textId="77777777" w:rsidR="007E54D5" w:rsidRDefault="007E54D5">
      <w:r>
        <w:continuationSeparator/>
      </w:r>
    </w:p>
    <w:p w14:paraId="743D4F86" w14:textId="77777777" w:rsidR="007E54D5" w:rsidRDefault="007E54D5"/>
  </w:footnote>
  <w:footnote w:id="1">
    <w:p w14:paraId="623C72DE" w14:textId="2CEA616C" w:rsidR="00121F5A" w:rsidRDefault="00121F5A" w:rsidP="005F1F2C">
      <w:pPr>
        <w:pStyle w:val="Body"/>
      </w:pPr>
      <w:r>
        <w:rPr>
          <w:rStyle w:val="FootnoteReference"/>
        </w:rPr>
        <w:footnoteRef/>
      </w:r>
      <w:r>
        <w:t xml:space="preserve"> </w:t>
      </w:r>
      <w:r w:rsidRPr="005F1F2C">
        <w:rPr>
          <w:rStyle w:val="FootnoteTextChar"/>
        </w:rPr>
        <w:t>NDIS Quality and Safeguards Commission 2020</w:t>
      </w:r>
      <w:r w:rsidR="005C0329" w:rsidRPr="005F1F2C">
        <w:rPr>
          <w:rStyle w:val="FootnoteTextChar"/>
        </w:rPr>
        <w:t>,</w:t>
      </w:r>
      <w:r w:rsidRPr="005F1F2C">
        <w:rPr>
          <w:rStyle w:val="FootnoteTextChar"/>
        </w:rPr>
        <w:t xml:space="preserve"> </w:t>
      </w:r>
      <w:r w:rsidRPr="005F1F2C">
        <w:rPr>
          <w:rStyle w:val="FootnoteTextChar"/>
          <w:i/>
          <w:iCs/>
        </w:rPr>
        <w:t>Regulated Restrictive Practices Guide</w:t>
      </w:r>
      <w:r w:rsidR="005C0329" w:rsidRPr="005F1F2C">
        <w:rPr>
          <w:rStyle w:val="FootnoteTextChar"/>
        </w:rPr>
        <w:t>,</w:t>
      </w:r>
      <w:r w:rsidRPr="005F1F2C">
        <w:rPr>
          <w:rStyle w:val="FootnoteTextChar"/>
        </w:rPr>
        <w:t xml:space="preserve"> Penrith,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9BE0" w14:textId="77777777" w:rsidR="00C3502D" w:rsidRDefault="00C35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AEFD" w14:textId="77777777" w:rsidR="00C3502D" w:rsidRDefault="00C35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73DF" w14:textId="77777777" w:rsidR="00C3502D" w:rsidRDefault="00C350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7139" w14:textId="77777777" w:rsidR="000D3F63" w:rsidRPr="0051568D" w:rsidRDefault="000D3F63" w:rsidP="0017674D">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75EE56D" w:rsidR="00E261B3" w:rsidRPr="0051568D" w:rsidRDefault="005C6E24" w:rsidP="0017674D">
    <w:pPr>
      <w:pStyle w:val="Header"/>
    </w:pPr>
    <w:r w:rsidRPr="00550985">
      <w:t>Practice points for using psychotropics to manage behaviours of concern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8C70E3"/>
    <w:multiLevelType w:val="hybridMultilevel"/>
    <w:tmpl w:val="9DEABD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07F"/>
    <w:rsid w:val="00037366"/>
    <w:rsid w:val="00041BF0"/>
    <w:rsid w:val="00042C8A"/>
    <w:rsid w:val="0004536B"/>
    <w:rsid w:val="00046B68"/>
    <w:rsid w:val="000527DD"/>
    <w:rsid w:val="000578B2"/>
    <w:rsid w:val="00060959"/>
    <w:rsid w:val="00060C8F"/>
    <w:rsid w:val="0006298A"/>
    <w:rsid w:val="00063E70"/>
    <w:rsid w:val="000643BD"/>
    <w:rsid w:val="000663CD"/>
    <w:rsid w:val="000733FE"/>
    <w:rsid w:val="000736C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1596"/>
    <w:rsid w:val="000D3F63"/>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1F5A"/>
    <w:rsid w:val="00122FEA"/>
    <w:rsid w:val="001232BD"/>
    <w:rsid w:val="00124ED5"/>
    <w:rsid w:val="001276FA"/>
    <w:rsid w:val="001447B3"/>
    <w:rsid w:val="00146E97"/>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0509"/>
    <w:rsid w:val="002033B7"/>
    <w:rsid w:val="0020591C"/>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490"/>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098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A60C9"/>
    <w:rsid w:val="005B1C6D"/>
    <w:rsid w:val="005B21B6"/>
    <w:rsid w:val="005B3A08"/>
    <w:rsid w:val="005B7A63"/>
    <w:rsid w:val="005C0329"/>
    <w:rsid w:val="005C0955"/>
    <w:rsid w:val="005C49DA"/>
    <w:rsid w:val="005C50F3"/>
    <w:rsid w:val="005C54B5"/>
    <w:rsid w:val="005C5D80"/>
    <w:rsid w:val="005C5D91"/>
    <w:rsid w:val="005C6E24"/>
    <w:rsid w:val="005D07B8"/>
    <w:rsid w:val="005D1125"/>
    <w:rsid w:val="005D6597"/>
    <w:rsid w:val="005E14E7"/>
    <w:rsid w:val="005E26A3"/>
    <w:rsid w:val="005E2ECB"/>
    <w:rsid w:val="005E447E"/>
    <w:rsid w:val="005E4FD1"/>
    <w:rsid w:val="005F0775"/>
    <w:rsid w:val="005F0CF5"/>
    <w:rsid w:val="005F1F2C"/>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0F95"/>
    <w:rsid w:val="00631CD4"/>
    <w:rsid w:val="00632597"/>
    <w:rsid w:val="00633C19"/>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3D29"/>
    <w:rsid w:val="006B6803"/>
    <w:rsid w:val="006D0F16"/>
    <w:rsid w:val="006D2A3F"/>
    <w:rsid w:val="006D2FBC"/>
    <w:rsid w:val="006E138B"/>
    <w:rsid w:val="006E1867"/>
    <w:rsid w:val="006F0330"/>
    <w:rsid w:val="006F1FDC"/>
    <w:rsid w:val="006F6B8C"/>
    <w:rsid w:val="007013EF"/>
    <w:rsid w:val="007055BD"/>
    <w:rsid w:val="00711A80"/>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3BE7"/>
    <w:rsid w:val="007E417A"/>
    <w:rsid w:val="007E54D5"/>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095"/>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1D6"/>
    <w:rsid w:val="008D4236"/>
    <w:rsid w:val="008D462F"/>
    <w:rsid w:val="008D5C45"/>
    <w:rsid w:val="008D6DCF"/>
    <w:rsid w:val="008E4376"/>
    <w:rsid w:val="008E7A0A"/>
    <w:rsid w:val="008E7B49"/>
    <w:rsid w:val="008F59F6"/>
    <w:rsid w:val="008F7AFA"/>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777E"/>
    <w:rsid w:val="00950E2C"/>
    <w:rsid w:val="00951D50"/>
    <w:rsid w:val="009525EB"/>
    <w:rsid w:val="00953BAA"/>
    <w:rsid w:val="0095470B"/>
    <w:rsid w:val="00954874"/>
    <w:rsid w:val="00954D01"/>
    <w:rsid w:val="0095615A"/>
    <w:rsid w:val="00961400"/>
    <w:rsid w:val="00963646"/>
    <w:rsid w:val="0096632D"/>
    <w:rsid w:val="00967124"/>
    <w:rsid w:val="00967335"/>
    <w:rsid w:val="009718C7"/>
    <w:rsid w:val="0097559F"/>
    <w:rsid w:val="009761EA"/>
    <w:rsid w:val="00976DF4"/>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5EF6"/>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72"/>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02D"/>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7E7"/>
    <w:rsid w:val="00CA12E3"/>
    <w:rsid w:val="00CA1476"/>
    <w:rsid w:val="00CA6611"/>
    <w:rsid w:val="00CA6AE6"/>
    <w:rsid w:val="00CA782F"/>
    <w:rsid w:val="00CB187B"/>
    <w:rsid w:val="00CB1F93"/>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48D7"/>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2E05"/>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0372"/>
    <w:rsid w:val="00EF109B"/>
    <w:rsid w:val="00EF127C"/>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80C4B"/>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8423D"/>
    <w:pPr>
      <w:spacing w:after="100" w:line="320" w:lineRule="atLeast"/>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uiPriority w:val="99"/>
    <w:qFormat/>
    <w:rsid w:val="00550985"/>
    <w:pPr>
      <w:spacing w:after="120" w:line="270" w:lineRule="atLeast"/>
    </w:pPr>
    <w:rPr>
      <w:rFonts w:ascii="Arial" w:eastAsia="Times" w:hAnsi="Arial"/>
      <w:lang w:eastAsia="en-US"/>
    </w:rPr>
  </w:style>
  <w:style w:type="paragraph" w:customStyle="1" w:styleId="DHHSquote">
    <w:name w:val="DHHS quote"/>
    <w:basedOn w:val="DHHSbody"/>
    <w:uiPriority w:val="4"/>
    <w:rsid w:val="00550985"/>
    <w:pPr>
      <w:ind w:left="397"/>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g.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ffh.vic.gov.au/positive-practice-framework-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tg.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Practice points for using psychotropics to manage behaviours of concern</vt:lpstr>
    </vt:vector>
  </TitlesOfParts>
  <Manager/>
  <Company>Victoria State Government, Department of Families, Fairness and Housing</Company>
  <LinksUpToDate>false</LinksUpToDate>
  <CharactersWithSpaces>7882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points for using psychotropics to manage behaviours of concern</dc:title>
  <dc:subject>Practice points for using psychotropics to manage behaviours of concern</dc:subject>
  <dc:creator>Community Operations and Practice Leadership</dc:creator>
  <cp:keywords>chemical restraint, psychotropic use, behaviours of concern, prescribers, medications</cp:keywords>
  <dc:description/>
  <cp:lastModifiedBy>Connie X Wu (DFFH)</cp:lastModifiedBy>
  <cp:revision>10</cp:revision>
  <cp:lastPrinted>2021-01-29T05:27:00Z</cp:lastPrinted>
  <dcterms:created xsi:type="dcterms:W3CDTF">2022-10-16T23:22:00Z</dcterms:created>
  <dcterms:modified xsi:type="dcterms:W3CDTF">2022-10-25T22:10:00Z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v8 15022022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2022-10-25T22:10:21Z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434cd182-99b3-4619-8d7f-b61099a5340d</vt:lpwstr>
  </property>
  <property fmtid="{D5CDD505-2E9C-101B-9397-08002B2CF9AE}" pid="11" name="MSIP_Label_43e64453-338c-4f93-8a4d-0039a0a41f2a_ContentBits">
    <vt:lpwstr>2</vt:lpwstr>
  </property>
</Properties>
</file>