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26CDF" w14:textId="77777777" w:rsidR="0074696E" w:rsidRPr="004C6EEE" w:rsidRDefault="00F1694F" w:rsidP="00AD784C">
      <w:pPr>
        <w:pStyle w:val="Spacerparatopoffirstpage"/>
      </w:pPr>
      <w:r>
        <w:drawing>
          <wp:anchor distT="0" distB="0" distL="114300" distR="114300" simplePos="0" relativeHeight="251658240" behindDoc="1" locked="1" layoutInCell="1" allowOverlap="1" wp14:anchorId="3B5377B7" wp14:editId="0C247CFA">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18E7AE2F"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4EC7E9E3" w14:textId="77777777" w:rsidTr="00502603">
        <w:trPr>
          <w:trHeight w:val="1304"/>
        </w:trPr>
        <w:tc>
          <w:tcPr>
            <w:tcW w:w="11907" w:type="dxa"/>
            <w:vAlign w:val="bottom"/>
          </w:tcPr>
          <w:p w14:paraId="0B120EA1" w14:textId="2D61D801" w:rsidR="00AD784C" w:rsidRPr="00161AA0" w:rsidRDefault="00AC045F" w:rsidP="00CE12AF">
            <w:pPr>
              <w:pStyle w:val="Documenttitle"/>
            </w:pPr>
            <w:r>
              <w:t>About protective markings</w:t>
            </w:r>
          </w:p>
        </w:tc>
      </w:tr>
      <w:tr w:rsidR="00CE12AF" w14:paraId="3C8930EB" w14:textId="77777777" w:rsidTr="00502603">
        <w:trPr>
          <w:trHeight w:val="1191"/>
        </w:trPr>
        <w:tc>
          <w:tcPr>
            <w:tcW w:w="11907" w:type="dxa"/>
          </w:tcPr>
          <w:p w14:paraId="66649A88" w14:textId="7C2A4C14" w:rsidR="00CE12AF" w:rsidRPr="00A1389F" w:rsidRDefault="00AC045F" w:rsidP="00CE12AF">
            <w:pPr>
              <w:pStyle w:val="Documentsubtitle"/>
            </w:pPr>
            <w:r w:rsidRPr="001A12BC">
              <w:t>Guide for clients, partners and third parties who share or provide official services</w:t>
            </w:r>
          </w:p>
        </w:tc>
      </w:tr>
      <w:tr w:rsidR="00CE12AF" w14:paraId="3C6BDAFB" w14:textId="77777777" w:rsidTr="00502603">
        <w:trPr>
          <w:trHeight w:val="284"/>
        </w:trPr>
        <w:tc>
          <w:tcPr>
            <w:tcW w:w="11907" w:type="dxa"/>
          </w:tcPr>
          <w:p w14:paraId="09B7E310" w14:textId="77777777" w:rsidR="00CE12AF" w:rsidRDefault="00E81792" w:rsidP="00CE12AF">
            <w:pPr>
              <w:pStyle w:val="Bannermarking"/>
            </w:pPr>
            <w:r>
              <w:fldChar w:fldCharType="begin"/>
            </w:r>
            <w:r>
              <w:instrText xml:space="preserve"> FILLIN  "Type the protective marking" \d OFFICIAL \o  \* MERGEFORMAT </w:instrText>
            </w:r>
            <w:r>
              <w:fldChar w:fldCharType="separate"/>
            </w:r>
            <w:r w:rsidR="00AC045F">
              <w:t>OFFICIAL</w:t>
            </w:r>
            <w:r>
              <w:fldChar w:fldCharType="end"/>
            </w:r>
          </w:p>
          <w:p w14:paraId="76267538" w14:textId="10C8FDA8" w:rsidR="00AC045F" w:rsidRPr="00250DC4" w:rsidRDefault="00AC045F" w:rsidP="00CE12AF">
            <w:pPr>
              <w:pStyle w:val="Bannermarking"/>
            </w:pPr>
          </w:p>
        </w:tc>
      </w:tr>
    </w:tbl>
    <w:tbl>
      <w:tblPr>
        <w:tblW w:w="15026" w:type="dxa"/>
        <w:tblInd w:w="-23" w:type="dxa"/>
        <w:tblCellMar>
          <w:left w:w="0" w:type="dxa"/>
          <w:right w:w="0" w:type="dxa"/>
        </w:tblCellMar>
        <w:tblLook w:val="0400" w:firstRow="0" w:lastRow="0" w:firstColumn="0" w:lastColumn="0" w:noHBand="0" w:noVBand="1"/>
      </w:tblPr>
      <w:tblGrid>
        <w:gridCol w:w="2410"/>
        <w:gridCol w:w="2835"/>
        <w:gridCol w:w="2977"/>
        <w:gridCol w:w="3827"/>
        <w:gridCol w:w="2977"/>
      </w:tblGrid>
      <w:tr w:rsidR="00AC045F" w:rsidRPr="00726ED0" w14:paraId="38594731" w14:textId="77777777" w:rsidTr="00AC045F">
        <w:trPr>
          <w:trHeight w:val="1340"/>
        </w:trPr>
        <w:tc>
          <w:tcPr>
            <w:tcW w:w="2410" w:type="dxa"/>
            <w:tcBorders>
              <w:top w:val="nil"/>
              <w:left w:val="single" w:sz="18" w:space="0" w:color="000000"/>
              <w:bottom w:val="nil"/>
              <w:right w:val="single" w:sz="12" w:space="0" w:color="C00000"/>
            </w:tcBorders>
            <w:shd w:val="clear" w:color="auto" w:fill="000000"/>
          </w:tcPr>
          <w:p w14:paraId="6E8E85CC" w14:textId="77777777" w:rsidR="00AC045F" w:rsidRPr="005C5505" w:rsidRDefault="00AC045F" w:rsidP="00670CC6">
            <w:pPr>
              <w:pStyle w:val="Body"/>
              <w:rPr>
                <w:sz w:val="20"/>
                <w:szCs w:val="18"/>
              </w:rPr>
            </w:pPr>
            <w:bookmarkStart w:id="0" w:name="_Toc63257285"/>
            <w:r w:rsidRPr="005C5505">
              <w:rPr>
                <w:sz w:val="20"/>
                <w:szCs w:val="18"/>
              </w:rPr>
              <w:t xml:space="preserve">Information obtained, received, reused, or stored for an official purpose or in supporting official activities </w:t>
            </w:r>
            <w:r w:rsidRPr="005C5505">
              <w:rPr>
                <w:b/>
                <w:bCs/>
                <w:sz w:val="20"/>
                <w:szCs w:val="18"/>
              </w:rPr>
              <w:t>must have</w:t>
            </w:r>
            <w:r w:rsidRPr="005C5505">
              <w:rPr>
                <w:sz w:val="20"/>
                <w:szCs w:val="18"/>
              </w:rPr>
              <w:t xml:space="preserve"> one of these protective markings (including personal information) applied. </w:t>
            </w:r>
          </w:p>
          <w:p w14:paraId="6CAFCAA8" w14:textId="77777777" w:rsidR="00AC045F" w:rsidRPr="009B1942" w:rsidRDefault="00AC045F" w:rsidP="00670CC6">
            <w:pPr>
              <w:pStyle w:val="Body"/>
            </w:pPr>
            <w:r w:rsidRPr="005C5505">
              <w:rPr>
                <w:sz w:val="20"/>
                <w:szCs w:val="18"/>
              </w:rPr>
              <w:t>Please ask the originator about the handling requirements of the information with respect to the protective marking.</w:t>
            </w:r>
          </w:p>
        </w:tc>
        <w:tc>
          <w:tcPr>
            <w:tcW w:w="2835" w:type="dxa"/>
            <w:tcBorders>
              <w:top w:val="nil"/>
              <w:left w:val="single" w:sz="18" w:space="0" w:color="000000"/>
              <w:bottom w:val="nil"/>
              <w:right w:val="single" w:sz="12" w:space="0" w:color="C00000"/>
            </w:tcBorders>
            <w:shd w:val="clear" w:color="auto" w:fill="auto"/>
            <w:tcMar>
              <w:top w:w="72" w:type="dxa"/>
              <w:left w:w="144" w:type="dxa"/>
              <w:bottom w:w="72" w:type="dxa"/>
              <w:right w:w="144" w:type="dxa"/>
            </w:tcMar>
            <w:hideMark/>
          </w:tcPr>
          <w:p w14:paraId="2EFE906F" w14:textId="77777777" w:rsidR="00AC045F" w:rsidRPr="005B5F3C" w:rsidRDefault="00AC045F" w:rsidP="00670CC6">
            <w:pPr>
              <w:pStyle w:val="DHHStablecolhead"/>
              <w:rPr>
                <w:color w:val="auto"/>
                <w:sz w:val="22"/>
                <w:szCs w:val="22"/>
                <w:lang w:eastAsia="en-AU"/>
              </w:rPr>
            </w:pPr>
            <w:r w:rsidRPr="005B5F3C">
              <w:rPr>
                <w:color w:val="auto"/>
                <w:sz w:val="22"/>
                <w:szCs w:val="22"/>
                <w:lang w:eastAsia="en-AU"/>
              </w:rPr>
              <w:t>OFFICIAL</w:t>
            </w:r>
          </w:p>
          <w:p w14:paraId="76F7C079" w14:textId="6B02F7F1" w:rsidR="00AC045F" w:rsidRPr="008352B6" w:rsidRDefault="00AC045F" w:rsidP="00670CC6">
            <w:pPr>
              <w:pStyle w:val="DHHStabletext"/>
              <w:rPr>
                <w:lang w:eastAsia="en-AU"/>
              </w:rPr>
            </w:pPr>
            <w:r w:rsidRPr="008352B6">
              <w:rPr>
                <w:lang w:eastAsia="en-AU"/>
              </w:rPr>
              <w:t xml:space="preserve">Compromise of this information could cause MINOR harm or damage to our operations, organisations, or individuals. </w:t>
            </w:r>
          </w:p>
          <w:p w14:paraId="199FCD1B" w14:textId="77777777" w:rsidR="00AC045F" w:rsidRDefault="00AC045F" w:rsidP="00670CC6">
            <w:pPr>
              <w:pStyle w:val="DHHStabletext"/>
              <w:rPr>
                <w:lang w:eastAsia="en-AU"/>
              </w:rPr>
            </w:pPr>
            <w:r w:rsidRPr="008352B6">
              <w:rPr>
                <w:lang w:eastAsia="en-AU"/>
              </w:rPr>
              <w:t xml:space="preserve">This is most of our routine business operations and services information. </w:t>
            </w:r>
          </w:p>
          <w:p w14:paraId="228C550F" w14:textId="77777777" w:rsidR="00AC045F" w:rsidRPr="00726ED0" w:rsidRDefault="00AC045F" w:rsidP="00670CC6">
            <w:pPr>
              <w:pStyle w:val="DHHStabletext"/>
              <w:rPr>
                <w:lang w:eastAsia="en-AU"/>
              </w:rPr>
            </w:pPr>
            <w:r w:rsidRPr="008352B6">
              <w:rPr>
                <w:lang w:eastAsia="en-AU"/>
              </w:rPr>
              <w:t>This may include information (or an opinion) about an identifiable individual (e.g., members of the public, staff etc) but would not include information defined as sensitive information under the Privacy Act.</w:t>
            </w:r>
          </w:p>
        </w:tc>
        <w:tc>
          <w:tcPr>
            <w:tcW w:w="2977" w:type="dxa"/>
            <w:tcBorders>
              <w:top w:val="nil"/>
              <w:left w:val="single" w:sz="12" w:space="0" w:color="C00000"/>
              <w:bottom w:val="nil"/>
              <w:right w:val="single" w:sz="12" w:space="0" w:color="C00000"/>
            </w:tcBorders>
            <w:shd w:val="clear" w:color="auto" w:fill="auto"/>
            <w:tcMar>
              <w:top w:w="72" w:type="dxa"/>
              <w:left w:w="144" w:type="dxa"/>
              <w:bottom w:w="72" w:type="dxa"/>
              <w:right w:w="144" w:type="dxa"/>
            </w:tcMar>
            <w:hideMark/>
          </w:tcPr>
          <w:p w14:paraId="7CA7E887" w14:textId="77777777" w:rsidR="00AC045F" w:rsidRPr="005B5F3C" w:rsidRDefault="00AC045F" w:rsidP="00670CC6">
            <w:pPr>
              <w:pStyle w:val="DHHStablecolhead"/>
              <w:rPr>
                <w:color w:val="D50032"/>
                <w:sz w:val="22"/>
                <w:szCs w:val="22"/>
                <w:lang w:eastAsia="en-AU"/>
              </w:rPr>
            </w:pPr>
            <w:r w:rsidRPr="005B5F3C">
              <w:rPr>
                <w:color w:val="D50032"/>
                <w:sz w:val="22"/>
                <w:szCs w:val="22"/>
                <w:lang w:eastAsia="en-AU"/>
              </w:rPr>
              <w:t>OFFICIAL: Sensitive</w:t>
            </w:r>
          </w:p>
          <w:p w14:paraId="50907934" w14:textId="77777777" w:rsidR="00AC045F" w:rsidRPr="008352B6" w:rsidRDefault="00AC045F" w:rsidP="00670CC6">
            <w:pPr>
              <w:pStyle w:val="DHHStabletext"/>
              <w:rPr>
                <w:rFonts w:cs="Arial"/>
                <w:color w:val="D50032"/>
                <w:lang w:eastAsia="en-AU"/>
              </w:rPr>
            </w:pPr>
            <w:r w:rsidRPr="008352B6">
              <w:rPr>
                <w:rFonts w:cs="Arial"/>
                <w:color w:val="D50032"/>
                <w:lang w:eastAsia="en-AU"/>
              </w:rPr>
              <w:t xml:space="preserve">This information is official information that, due to its sensitive nature requires limited dissemination. </w:t>
            </w:r>
          </w:p>
          <w:p w14:paraId="5186AAF6" w14:textId="77777777" w:rsidR="00AC045F" w:rsidRPr="008352B6" w:rsidRDefault="00AC045F" w:rsidP="00670CC6">
            <w:pPr>
              <w:pStyle w:val="DHHStabletext"/>
              <w:rPr>
                <w:rFonts w:cs="Arial"/>
                <w:color w:val="D50032"/>
                <w:lang w:eastAsia="en-AU"/>
              </w:rPr>
            </w:pPr>
            <w:r w:rsidRPr="008352B6">
              <w:rPr>
                <w:rFonts w:cs="Arial"/>
                <w:color w:val="D50032"/>
                <w:lang w:eastAsia="en-AU"/>
              </w:rPr>
              <w:t xml:space="preserve">Compromise of this information could cause LIMITED harm or damage to our operations, organisations or individuals resulting in one or more of the following: </w:t>
            </w:r>
          </w:p>
          <w:p w14:paraId="36598EDD"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 xml:space="preserve">Breach of personal information (including sensitive information as defined in Schedule 1 of the </w:t>
            </w:r>
            <w:r w:rsidRPr="005C5505">
              <w:rPr>
                <w:rFonts w:cs="Arial"/>
                <w:i/>
                <w:iCs/>
                <w:color w:val="D50032"/>
                <w:sz w:val="20"/>
                <w:lang w:eastAsia="en-AU"/>
              </w:rPr>
              <w:t>Privacy and Data Protection Act 2014</w:t>
            </w:r>
            <w:r w:rsidRPr="005C5505">
              <w:rPr>
                <w:rFonts w:cs="Arial"/>
                <w:color w:val="D50032"/>
                <w:sz w:val="20"/>
                <w:lang w:eastAsia="en-AU"/>
              </w:rPr>
              <w:t xml:space="preserve">) </w:t>
            </w:r>
          </w:p>
          <w:p w14:paraId="24CA728D"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 xml:space="preserve">Humiliation, distress or embarrassment </w:t>
            </w:r>
          </w:p>
          <w:p w14:paraId="059962E5"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 xml:space="preserve">Non-life-threatening injury </w:t>
            </w:r>
          </w:p>
          <w:p w14:paraId="68738C3C"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 xml:space="preserve">Financial hardship </w:t>
            </w:r>
          </w:p>
          <w:p w14:paraId="33D7B79C" w14:textId="77777777" w:rsidR="00AC045F" w:rsidRPr="008352B6" w:rsidRDefault="00AC045F" w:rsidP="00670CC6">
            <w:pPr>
              <w:pStyle w:val="DHHStabletext"/>
              <w:rPr>
                <w:rFonts w:cs="Arial"/>
                <w:color w:val="D50032"/>
                <w:lang w:eastAsia="en-AU"/>
              </w:rPr>
            </w:pPr>
          </w:p>
          <w:p w14:paraId="75AB9F08" w14:textId="77777777" w:rsidR="00AC045F" w:rsidRPr="00EA3353" w:rsidRDefault="00AC045F" w:rsidP="00670CC6">
            <w:pPr>
              <w:pStyle w:val="DHHStabletext"/>
              <w:rPr>
                <w:rFonts w:cs="Arial"/>
                <w:lang w:eastAsia="en-AU"/>
              </w:rPr>
            </w:pPr>
            <w:r w:rsidRPr="008352B6">
              <w:rPr>
                <w:rFonts w:cs="Arial"/>
                <w:color w:val="D50032"/>
                <w:lang w:eastAsia="en-AU"/>
              </w:rPr>
              <w:t>E.g., Staff, clients and commercially sensitive information.</w:t>
            </w:r>
          </w:p>
        </w:tc>
        <w:tc>
          <w:tcPr>
            <w:tcW w:w="3827" w:type="dxa"/>
            <w:tcBorders>
              <w:top w:val="nil"/>
              <w:left w:val="single" w:sz="12" w:space="0" w:color="C00000"/>
              <w:bottom w:val="nil"/>
              <w:right w:val="single" w:sz="12" w:space="0" w:color="C00000"/>
            </w:tcBorders>
            <w:shd w:val="clear" w:color="auto" w:fill="auto"/>
            <w:tcMar>
              <w:top w:w="72" w:type="dxa"/>
              <w:left w:w="144" w:type="dxa"/>
              <w:bottom w:w="72" w:type="dxa"/>
              <w:right w:w="144" w:type="dxa"/>
            </w:tcMar>
            <w:hideMark/>
          </w:tcPr>
          <w:p w14:paraId="5400DB0F" w14:textId="77777777" w:rsidR="00AC045F" w:rsidRPr="005B5F3C" w:rsidRDefault="00AC045F" w:rsidP="00670CC6">
            <w:pPr>
              <w:pStyle w:val="DHHStablecolhead"/>
              <w:rPr>
                <w:rFonts w:cs="Arial"/>
                <w:bCs/>
                <w:color w:val="D50032"/>
                <w:sz w:val="22"/>
                <w:szCs w:val="22"/>
                <w:lang w:eastAsia="en-AU"/>
              </w:rPr>
            </w:pPr>
            <w:r w:rsidRPr="005B5F3C">
              <w:rPr>
                <w:rFonts w:cs="Arial"/>
                <w:bCs/>
                <w:color w:val="D50032"/>
                <w:sz w:val="22"/>
                <w:szCs w:val="22"/>
                <w:lang w:eastAsia="en-AU"/>
              </w:rPr>
              <w:t>PROTECTED</w:t>
            </w:r>
          </w:p>
          <w:p w14:paraId="3FE0B0AE" w14:textId="77777777" w:rsidR="00AC045F" w:rsidRPr="005C5505" w:rsidRDefault="00AC045F" w:rsidP="00670CC6">
            <w:pPr>
              <w:pStyle w:val="DHHStabletext"/>
              <w:rPr>
                <w:rFonts w:cs="Arial"/>
                <w:color w:val="D50032"/>
                <w:lang w:eastAsia="en-AU"/>
              </w:rPr>
            </w:pPr>
            <w:r w:rsidRPr="005C5505">
              <w:rPr>
                <w:rFonts w:cs="Arial"/>
                <w:color w:val="D50032"/>
                <w:lang w:eastAsia="en-AU"/>
              </w:rPr>
              <w:t>This information is official information that has been evaluated as valuable, important, and sensitive. </w:t>
            </w:r>
          </w:p>
          <w:p w14:paraId="29E6E212" w14:textId="77777777" w:rsidR="00AC045F" w:rsidRPr="005C5505" w:rsidRDefault="00AC045F" w:rsidP="00670CC6">
            <w:pPr>
              <w:pStyle w:val="DHHStabletext"/>
              <w:rPr>
                <w:rFonts w:cs="Arial"/>
                <w:color w:val="D50032"/>
                <w:lang w:eastAsia="en-AU"/>
              </w:rPr>
            </w:pPr>
            <w:r w:rsidRPr="005C5505">
              <w:rPr>
                <w:rFonts w:cs="Arial"/>
                <w:color w:val="D50032"/>
                <w:lang w:eastAsia="en-AU"/>
              </w:rPr>
              <w:t>Compromise of this information could cause MAJOR harm or damage to our operations, organisations or individuals resulting in one or more of the following:  </w:t>
            </w:r>
          </w:p>
          <w:p w14:paraId="197BA4BB"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Breach of personal information (including sensitive information as defined in Schedule 1 of the </w:t>
            </w:r>
            <w:r w:rsidRPr="005C5505">
              <w:rPr>
                <w:rFonts w:cs="Arial"/>
                <w:i/>
                <w:iCs/>
                <w:color w:val="D50032"/>
                <w:sz w:val="20"/>
                <w:lang w:eastAsia="en-AU"/>
              </w:rPr>
              <w:t>Privacy and Data Protection Act 2014</w:t>
            </w:r>
            <w:r w:rsidRPr="005C5505">
              <w:rPr>
                <w:rFonts w:cs="Arial"/>
                <w:color w:val="D50032"/>
                <w:sz w:val="20"/>
                <w:lang w:eastAsia="en-AU"/>
              </w:rPr>
              <w:t>) </w:t>
            </w:r>
          </w:p>
          <w:p w14:paraId="376B6BC2"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Humiliation, distress or embarrassment </w:t>
            </w:r>
          </w:p>
          <w:p w14:paraId="2F11B271"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Irreversible or life-threatening injury </w:t>
            </w:r>
          </w:p>
          <w:p w14:paraId="54F75F08"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Direct threat to life </w:t>
            </w:r>
          </w:p>
          <w:p w14:paraId="3105A8C6"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Financial hardship (e.g., bankruptcy or dissolution of assets). </w:t>
            </w:r>
          </w:p>
          <w:p w14:paraId="412878DD" w14:textId="77777777" w:rsidR="00AC045F" w:rsidRPr="005C5505" w:rsidRDefault="00AC045F" w:rsidP="00670CC6">
            <w:pPr>
              <w:pStyle w:val="paragraph"/>
              <w:spacing w:before="0" w:beforeAutospacing="0" w:after="0" w:afterAutospacing="0"/>
              <w:textAlignment w:val="baseline"/>
              <w:rPr>
                <w:rFonts w:ascii="Arial" w:hAnsi="Arial" w:cs="Arial"/>
                <w:color w:val="D50032"/>
                <w:sz w:val="20"/>
                <w:szCs w:val="20"/>
              </w:rPr>
            </w:pPr>
            <w:r w:rsidRPr="005C5505">
              <w:rPr>
                <w:rFonts w:ascii="Arial" w:hAnsi="Arial" w:cs="Arial"/>
                <w:color w:val="D50032"/>
                <w:sz w:val="20"/>
                <w:szCs w:val="20"/>
              </w:rPr>
              <w:t> </w:t>
            </w:r>
          </w:p>
          <w:p w14:paraId="48B19452" w14:textId="77777777" w:rsidR="00AC045F" w:rsidRPr="005C5505" w:rsidRDefault="00AC045F" w:rsidP="00670CC6">
            <w:pPr>
              <w:pStyle w:val="paragraph"/>
              <w:spacing w:before="0" w:beforeAutospacing="0" w:after="0" w:afterAutospacing="0"/>
              <w:textAlignment w:val="baseline"/>
              <w:rPr>
                <w:rFonts w:ascii="Arial" w:hAnsi="Arial" w:cs="Arial"/>
                <w:color w:val="D50032"/>
                <w:sz w:val="20"/>
                <w:szCs w:val="20"/>
              </w:rPr>
            </w:pPr>
            <w:r w:rsidRPr="005C5505">
              <w:rPr>
                <w:rFonts w:ascii="Arial" w:hAnsi="Arial" w:cs="Arial"/>
                <w:color w:val="D50032"/>
                <w:sz w:val="20"/>
                <w:szCs w:val="20"/>
              </w:rPr>
              <w:t>E.g., Child protection records, identities of clients where legislation restricts the disclosure of their identity, and similar information.</w:t>
            </w:r>
          </w:p>
          <w:p w14:paraId="5F93E60E" w14:textId="77777777" w:rsidR="00AC045F" w:rsidRPr="005C5505" w:rsidRDefault="00AC045F" w:rsidP="00670CC6">
            <w:pPr>
              <w:pStyle w:val="DHHStablecolhead"/>
              <w:rPr>
                <w:rFonts w:cs="Arial"/>
                <w:b w:val="0"/>
                <w:color w:val="D50032"/>
                <w:lang w:eastAsia="en-AU"/>
              </w:rPr>
            </w:pPr>
          </w:p>
        </w:tc>
        <w:tc>
          <w:tcPr>
            <w:tcW w:w="2977" w:type="dxa"/>
            <w:tcBorders>
              <w:top w:val="nil"/>
              <w:left w:val="single" w:sz="12" w:space="0" w:color="C00000"/>
              <w:bottom w:val="nil"/>
              <w:right w:val="nil"/>
            </w:tcBorders>
            <w:shd w:val="clear" w:color="auto" w:fill="auto"/>
            <w:tcMar>
              <w:top w:w="72" w:type="dxa"/>
              <w:left w:w="144" w:type="dxa"/>
              <w:bottom w:w="72" w:type="dxa"/>
              <w:right w:w="144" w:type="dxa"/>
            </w:tcMar>
            <w:hideMark/>
          </w:tcPr>
          <w:p w14:paraId="47ED7FE0" w14:textId="77777777" w:rsidR="00AC045F" w:rsidRPr="005B5F3C" w:rsidRDefault="00AC045F" w:rsidP="00670CC6">
            <w:pPr>
              <w:pStyle w:val="DHHStablecolhead"/>
              <w:rPr>
                <w:color w:val="D50032"/>
                <w:sz w:val="22"/>
                <w:szCs w:val="22"/>
                <w:lang w:eastAsia="en-AU"/>
              </w:rPr>
            </w:pPr>
            <w:r w:rsidRPr="005B5F3C">
              <w:rPr>
                <w:color w:val="D50032"/>
                <w:sz w:val="22"/>
                <w:szCs w:val="22"/>
                <w:lang w:eastAsia="en-AU"/>
              </w:rPr>
              <w:t xml:space="preserve">PROTECTED // </w:t>
            </w:r>
            <w:r w:rsidRPr="005B5F3C">
              <w:rPr>
                <w:color w:val="D50032"/>
                <w:sz w:val="22"/>
                <w:szCs w:val="22"/>
                <w:lang w:eastAsia="en-AU"/>
              </w:rPr>
              <w:br/>
              <w:t>Cabinet-In-Confidence</w:t>
            </w:r>
          </w:p>
          <w:p w14:paraId="7D4F9794" w14:textId="77777777" w:rsidR="00AC045F" w:rsidRPr="005C5505" w:rsidRDefault="00AC045F" w:rsidP="00670CC6">
            <w:pPr>
              <w:pStyle w:val="paragraph"/>
              <w:spacing w:before="0" w:beforeAutospacing="0" w:after="0" w:afterAutospacing="0"/>
              <w:textAlignment w:val="baseline"/>
              <w:rPr>
                <w:rFonts w:ascii="Arial" w:hAnsi="Arial" w:cs="Arial"/>
                <w:color w:val="D50032"/>
                <w:sz w:val="20"/>
                <w:szCs w:val="20"/>
              </w:rPr>
            </w:pPr>
            <w:r w:rsidRPr="005C5505">
              <w:rPr>
                <w:rFonts w:ascii="Arial" w:hAnsi="Arial"/>
                <w:color w:val="D50032"/>
                <w:sz w:val="20"/>
                <w:szCs w:val="20"/>
              </w:rPr>
              <w:t>A</w:t>
            </w:r>
            <w:r w:rsidRPr="005C5505">
              <w:rPr>
                <w:rFonts w:ascii="Arial" w:hAnsi="Arial" w:cs="Arial"/>
                <w:color w:val="D50032"/>
                <w:sz w:val="20"/>
                <w:szCs w:val="20"/>
              </w:rPr>
              <w:t>ny</w:t>
            </w:r>
            <w:r w:rsidRPr="005C5505">
              <w:rPr>
                <w:rFonts w:ascii="Arial" w:hAnsi="Arial"/>
                <w:color w:val="D50032"/>
                <w:sz w:val="20"/>
                <w:szCs w:val="20"/>
              </w:rPr>
              <w:t xml:space="preserve"> information which: </w:t>
            </w:r>
          </w:p>
          <w:p w14:paraId="7176F57C"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is or forms part of a document to be considered by Cabinet, even if that document is in draft or withdrawn prior to consideration </w:t>
            </w:r>
          </w:p>
          <w:p w14:paraId="7BB48576"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is attached to a document to be considered by Cabinet and is not already in the public domain </w:t>
            </w:r>
          </w:p>
          <w:p w14:paraId="577103F7" w14:textId="77777777" w:rsidR="00AC045F" w:rsidRPr="005C5505" w:rsidRDefault="00AC045F" w:rsidP="00670CC6">
            <w:pPr>
              <w:pStyle w:val="Tablebullet1"/>
              <w:rPr>
                <w:rFonts w:cs="Arial"/>
                <w:color w:val="D50032"/>
                <w:sz w:val="20"/>
                <w:lang w:eastAsia="en-AU"/>
              </w:rPr>
            </w:pPr>
            <w:r w:rsidRPr="005C5505">
              <w:rPr>
                <w:rFonts w:cs="Arial"/>
                <w:color w:val="D50032"/>
                <w:sz w:val="20"/>
                <w:lang w:eastAsia="en-AU"/>
              </w:rPr>
              <w:t>contains or refers to a Cabinet decision or deliberation or relates or refers to the development or progress of a submission. </w:t>
            </w:r>
          </w:p>
          <w:p w14:paraId="25B1FD90" w14:textId="77777777" w:rsidR="00AC045F" w:rsidRPr="00EA3353" w:rsidRDefault="00AC045F" w:rsidP="00670CC6">
            <w:pPr>
              <w:pStyle w:val="DHHStablecolhead"/>
              <w:rPr>
                <w:b w:val="0"/>
                <w:bCs/>
                <w:color w:val="D50032"/>
                <w:lang w:eastAsia="en-AU"/>
              </w:rPr>
            </w:pPr>
            <w:r w:rsidRPr="00EA3353">
              <w:rPr>
                <w:b w:val="0"/>
                <w:bCs/>
                <w:color w:val="D50032"/>
                <w:lang w:eastAsia="en-AU"/>
              </w:rPr>
              <w:t>(</w:t>
            </w:r>
            <w:r>
              <w:rPr>
                <w:b w:val="0"/>
                <w:bCs/>
                <w:color w:val="D50032"/>
                <w:lang w:eastAsia="en-AU"/>
              </w:rPr>
              <w:t>M</w:t>
            </w:r>
            <w:r w:rsidRPr="00EA3353">
              <w:rPr>
                <w:b w:val="0"/>
                <w:bCs/>
                <w:color w:val="D50032"/>
                <w:lang w:eastAsia="en-AU"/>
              </w:rPr>
              <w:t xml:space="preserve">ore information on page </w:t>
            </w:r>
            <w:r w:rsidRPr="00EA3353">
              <w:rPr>
                <w:b w:val="0"/>
                <w:bCs/>
                <w:color w:val="D50032"/>
                <w:lang w:eastAsia="en-AU"/>
              </w:rPr>
              <w:fldChar w:fldCharType="begin"/>
            </w:r>
            <w:r w:rsidRPr="00EA3353">
              <w:rPr>
                <w:b w:val="0"/>
                <w:bCs/>
                <w:color w:val="D50032"/>
                <w:lang w:eastAsia="en-AU"/>
              </w:rPr>
              <w:instrText xml:space="preserve"> PAGEREF _Ref30675663 \h </w:instrText>
            </w:r>
            <w:r w:rsidRPr="00EA3353">
              <w:rPr>
                <w:b w:val="0"/>
                <w:bCs/>
                <w:color w:val="D50032"/>
                <w:lang w:eastAsia="en-AU"/>
              </w:rPr>
            </w:r>
            <w:r w:rsidRPr="00EA3353">
              <w:rPr>
                <w:b w:val="0"/>
                <w:bCs/>
                <w:color w:val="D50032"/>
                <w:lang w:eastAsia="en-AU"/>
              </w:rPr>
              <w:fldChar w:fldCharType="separate"/>
            </w:r>
            <w:r>
              <w:rPr>
                <w:b w:val="0"/>
                <w:bCs/>
                <w:noProof/>
                <w:color w:val="D50032"/>
                <w:lang w:eastAsia="en-AU"/>
              </w:rPr>
              <w:t>2</w:t>
            </w:r>
            <w:r w:rsidRPr="00EA3353">
              <w:rPr>
                <w:b w:val="0"/>
                <w:bCs/>
                <w:color w:val="D50032"/>
                <w:lang w:eastAsia="en-AU"/>
              </w:rPr>
              <w:fldChar w:fldCharType="end"/>
            </w:r>
            <w:r w:rsidRPr="00EA3353">
              <w:rPr>
                <w:b w:val="0"/>
                <w:bCs/>
                <w:color w:val="D50032"/>
                <w:lang w:eastAsia="en-AU"/>
              </w:rPr>
              <w:t>).</w:t>
            </w:r>
          </w:p>
        </w:tc>
      </w:tr>
    </w:tbl>
    <w:p w14:paraId="5259579B" w14:textId="77777777" w:rsidR="00AC045F" w:rsidRDefault="00AC045F" w:rsidP="00AC045F">
      <w:pPr>
        <w:pStyle w:val="Heading1"/>
        <w:spacing w:before="0"/>
        <w:rPr>
          <w:noProof/>
        </w:rPr>
      </w:pPr>
      <w:bookmarkStart w:id="1" w:name="_Ref30506428"/>
      <w:bookmarkStart w:id="2" w:name="_Toc87282154"/>
      <w:r>
        <w:rPr>
          <w:noProof/>
        </w:rPr>
        <w:lastRenderedPageBreak/>
        <w:t>About protective marking</w:t>
      </w:r>
      <w:bookmarkEnd w:id="1"/>
      <w:r>
        <w:rPr>
          <w:noProof/>
        </w:rPr>
        <w:t>s</w:t>
      </w:r>
      <w:bookmarkEnd w:id="2"/>
    </w:p>
    <w:p w14:paraId="4882C148" w14:textId="77777777" w:rsidR="00AC045F" w:rsidRDefault="00AC045F" w:rsidP="00AC045F">
      <w:pPr>
        <w:pStyle w:val="Heading2"/>
      </w:pPr>
      <w:bookmarkStart w:id="3" w:name="_Toc87282155"/>
      <w:r>
        <w:t>How to handle information with protective markings</w:t>
      </w:r>
      <w:bookmarkEnd w:id="3"/>
    </w:p>
    <w:p w14:paraId="5B3DB72E" w14:textId="77777777" w:rsidR="00AC045F" w:rsidRPr="004B4C89" w:rsidRDefault="00AC045F" w:rsidP="00AC045F">
      <w:pPr>
        <w:pStyle w:val="Body"/>
      </w:pPr>
      <w:r w:rsidRPr="004B4C89">
        <w:t xml:space="preserve">Protective markings are visual sensitivity </w:t>
      </w:r>
      <w:r>
        <w:t>cues</w:t>
      </w:r>
      <w:r w:rsidRPr="004B4C89">
        <w:t xml:space="preserve"> and are required to meet the Victorian Protective Data</w:t>
      </w:r>
      <w:r>
        <w:t xml:space="preserve"> </w:t>
      </w:r>
      <w:r w:rsidRPr="004B4C89">
        <w:t>Security Framework (VPDSF).</w:t>
      </w:r>
    </w:p>
    <w:p w14:paraId="69A9393F" w14:textId="77777777" w:rsidR="00AC045F" w:rsidRDefault="00AC045F" w:rsidP="00AC045F">
      <w:pPr>
        <w:pStyle w:val="Body"/>
      </w:pPr>
      <w:r w:rsidRPr="00926C33">
        <w:t xml:space="preserve">If information does not have a protective marking, contact the originator to understand its confidentiality requirements and enquire which protective marking is appropriate. Protective markings should not be altered without consulting with the originator of the information. </w:t>
      </w:r>
    </w:p>
    <w:p w14:paraId="1C06286A" w14:textId="77777777" w:rsidR="00AC045F" w:rsidRDefault="00AC045F" w:rsidP="00AC045F">
      <w:pPr>
        <w:pStyle w:val="Body"/>
      </w:pPr>
      <w:r w:rsidRPr="00926C33">
        <w:t xml:space="preserve">More information can be found </w:t>
      </w:r>
      <w:r>
        <w:t>in the</w:t>
      </w:r>
      <w:r w:rsidRPr="00926C33">
        <w:t xml:space="preserve"> </w:t>
      </w:r>
      <w:hyperlink r:id="rId18" w:history="1">
        <w:r w:rsidRPr="004B4C89">
          <w:rPr>
            <w:rStyle w:val="Hyperlink"/>
          </w:rPr>
          <w:t>Office of Victorian Information Commissioner’s Protective Marking user guide</w:t>
        </w:r>
      </w:hyperlink>
      <w:r>
        <w:t xml:space="preserve"> &lt;</w:t>
      </w:r>
      <w:r w:rsidRPr="004B4C89">
        <w:t>https://ovic.vic.gov.au/resource/user-guide-handling-protectively-marked-information-v2-0/</w:t>
      </w:r>
      <w:r>
        <w:t>&gt;.</w:t>
      </w:r>
    </w:p>
    <w:p w14:paraId="33492E05" w14:textId="77777777" w:rsidR="00AC045F" w:rsidRDefault="00AC045F" w:rsidP="00AC045F">
      <w:pPr>
        <w:pStyle w:val="Heading2"/>
      </w:pPr>
      <w:bookmarkStart w:id="4" w:name="_Ref30675663"/>
      <w:bookmarkStart w:id="5" w:name="_Toc87282156"/>
      <w:r>
        <w:t>Cabinet-In-Confidence information handling requirements</w:t>
      </w:r>
      <w:bookmarkEnd w:id="4"/>
      <w:bookmarkEnd w:id="5"/>
    </w:p>
    <w:p w14:paraId="1977428C" w14:textId="77777777" w:rsidR="00AC045F" w:rsidRDefault="00AC045F" w:rsidP="00AC045F">
      <w:pPr>
        <w:pStyle w:val="Body"/>
      </w:pPr>
      <w:r>
        <w:t xml:space="preserve">Cabinet-In-Confidence (sometimes referred as ‘CIC’) information must be handled in compliance with the Victorian governments </w:t>
      </w:r>
      <w:r w:rsidRPr="004B761A">
        <w:rPr>
          <w:i/>
          <w:iCs/>
        </w:rPr>
        <w:t>Cabinet Handbook</w:t>
      </w:r>
      <w:r>
        <w:t xml:space="preserve">. More information can be found on the Victorian government’s website and their </w:t>
      </w:r>
      <w:hyperlink r:id="rId19" w:history="1">
        <w:r w:rsidRPr="004B4C89">
          <w:rPr>
            <w:rStyle w:val="Hyperlink"/>
          </w:rPr>
          <w:t>Guidelines for working in government</w:t>
        </w:r>
      </w:hyperlink>
      <w:r>
        <w:t xml:space="preserve"> &lt;</w:t>
      </w:r>
      <w:r w:rsidRPr="004B4C89">
        <w:t>https://www.vic.gov.au/guidelines-working-government</w:t>
      </w:r>
      <w:r>
        <w:t>&gt;.</w:t>
      </w:r>
    </w:p>
    <w:p w14:paraId="0F40A857" w14:textId="77777777" w:rsidR="00AC045F" w:rsidRDefault="00AC045F" w:rsidP="00AC045F">
      <w:pPr>
        <w:pStyle w:val="Heading2"/>
        <w:rPr>
          <w:rFonts w:eastAsia="Times"/>
        </w:rPr>
      </w:pPr>
      <w:bookmarkStart w:id="6" w:name="_Toc87282157"/>
      <w:r w:rsidRPr="00926C33">
        <w:rPr>
          <w:rFonts w:eastAsia="Times"/>
        </w:rPr>
        <w:t>Handling information with a protective marking from former protective marking schemes</w:t>
      </w:r>
      <w:bookmarkEnd w:id="6"/>
    </w:p>
    <w:p w14:paraId="3E86BCEA" w14:textId="77777777" w:rsidR="00AC045F" w:rsidRPr="00FD06BE" w:rsidRDefault="00AC045F" w:rsidP="00AC045F">
      <w:pPr>
        <w:pStyle w:val="Body"/>
      </w:pPr>
      <w:r w:rsidRPr="00FD06BE">
        <w:t>Information that has been protectively marked under a former scheme must be reassessed under the current VPDS</w:t>
      </w:r>
      <w:r>
        <w:t>F</w:t>
      </w:r>
      <w:r w:rsidRPr="00FD06BE">
        <w:t xml:space="preserve"> protective marking scheme when actively used. Documents not in active use do not need to be reassessed, or re-marked. Please request the originator to re-assess the information and replace the former protective marking.</w:t>
      </w:r>
    </w:p>
    <w:p w14:paraId="520A3666" w14:textId="77777777" w:rsidR="00AC045F" w:rsidRPr="004B4C89" w:rsidRDefault="00AC045F" w:rsidP="00AC045F">
      <w:pPr>
        <w:pStyle w:val="Body"/>
        <w:rPr>
          <w:rStyle w:val="Hyperlink"/>
          <w:color w:val="auto"/>
        </w:rPr>
      </w:pPr>
      <w:r w:rsidRPr="00FD06BE">
        <w:t xml:space="preserve">The new protective marking scheme is heavily influenced and aligns with the Commonwealth government’s Information Security requirements of the </w:t>
      </w:r>
      <w:hyperlink r:id="rId20" w:history="1">
        <w:r w:rsidRPr="004B4C89">
          <w:rPr>
            <w:rStyle w:val="Hyperlink"/>
          </w:rPr>
          <w:t>Protective Security Policy Framework (PSPF)</w:t>
        </w:r>
      </w:hyperlink>
      <w:r w:rsidRPr="00FD06BE">
        <w:t xml:space="preserve"> </w:t>
      </w:r>
      <w:r>
        <w:t>&lt;</w:t>
      </w:r>
      <w:r w:rsidRPr="004B4C89">
        <w:t>https://www.protectivesecurity.gov.au/information/sensitive-classified-information/Pages/default.aspx</w:t>
      </w:r>
      <w:r>
        <w:t>&gt;.</w:t>
      </w:r>
    </w:p>
    <w:p w14:paraId="6CD5B547" w14:textId="77777777" w:rsidR="00AC045F" w:rsidRPr="004B4C89" w:rsidRDefault="00AC045F" w:rsidP="00AC045F">
      <w:pPr>
        <w:pStyle w:val="Heading2"/>
        <w:rPr>
          <w:rFonts w:eastAsia="Times"/>
        </w:rPr>
      </w:pPr>
      <w:bookmarkStart w:id="7" w:name="_Toc87282158"/>
      <w:r w:rsidRPr="00926C33">
        <w:rPr>
          <w:rFonts w:eastAsia="Times"/>
        </w:rPr>
        <w:lastRenderedPageBreak/>
        <w:t>Handling information with a protective marking from former protective marking schemes</w:t>
      </w:r>
      <w:bookmarkEnd w:id="7"/>
    </w:p>
    <w:p w14:paraId="5D9856E8" w14:textId="77777777" w:rsidR="00AC045F" w:rsidRPr="001A12BC" w:rsidRDefault="00AC045F" w:rsidP="00AC045F">
      <w:pPr>
        <w:pStyle w:val="DHHStablecaption"/>
      </w:pPr>
      <w:r w:rsidRPr="001A12BC">
        <w:t xml:space="preserve">Table </w:t>
      </w:r>
      <w:fldSimple w:instr=" SEQ Table \* ARABIC ">
        <w:r w:rsidRPr="001A12BC">
          <w:t>1</w:t>
        </w:r>
      </w:fldSimple>
      <w:r w:rsidRPr="001A12BC">
        <w:t xml:space="preserve"> - Protective marking comparisons from former schemes</w:t>
      </w:r>
    </w:p>
    <w:tbl>
      <w:tblPr>
        <w:tblStyle w:val="TableGrid"/>
        <w:tblW w:w="15021" w:type="dxa"/>
        <w:tblLook w:val="04A0" w:firstRow="1" w:lastRow="0" w:firstColumn="1" w:lastColumn="0" w:noHBand="0" w:noVBand="1"/>
      </w:tblPr>
      <w:tblGrid>
        <w:gridCol w:w="7510"/>
        <w:gridCol w:w="7511"/>
      </w:tblGrid>
      <w:tr w:rsidR="00AC045F" w:rsidRPr="004A3B6D" w14:paraId="6D76F059" w14:textId="77777777" w:rsidTr="00670CC6">
        <w:trPr>
          <w:trHeight w:val="828"/>
        </w:trPr>
        <w:tc>
          <w:tcPr>
            <w:tcW w:w="7510" w:type="dxa"/>
            <w:shd w:val="clear" w:color="auto" w:fill="F2F2F2" w:themeFill="background1" w:themeFillShade="F2"/>
          </w:tcPr>
          <w:p w14:paraId="384AF4B3" w14:textId="77777777" w:rsidR="00AC045F" w:rsidRPr="00AC045F" w:rsidRDefault="00AC045F" w:rsidP="00670CC6">
            <w:pPr>
              <w:pStyle w:val="DHHStablecolhead"/>
              <w:rPr>
                <w:rFonts w:eastAsia="Times"/>
                <w:color w:val="201547"/>
                <w:sz w:val="22"/>
                <w:szCs w:val="22"/>
              </w:rPr>
            </w:pPr>
            <w:r w:rsidRPr="00AC045F">
              <w:rPr>
                <w:rFonts w:eastAsia="Times"/>
                <w:color w:val="201547"/>
                <w:sz w:val="22"/>
                <w:szCs w:val="22"/>
              </w:rPr>
              <w:t>Some of the protective markings from former schemes</w:t>
            </w:r>
          </w:p>
        </w:tc>
        <w:tc>
          <w:tcPr>
            <w:tcW w:w="7511" w:type="dxa"/>
            <w:shd w:val="clear" w:color="auto" w:fill="F2F2F2" w:themeFill="background1" w:themeFillShade="F2"/>
          </w:tcPr>
          <w:p w14:paraId="2E9A3884" w14:textId="24834DB7" w:rsidR="00AC045F" w:rsidRPr="00AC045F" w:rsidRDefault="00AC045F" w:rsidP="00670CC6">
            <w:pPr>
              <w:pStyle w:val="DHHStablecolhead"/>
              <w:rPr>
                <w:rFonts w:eastAsia="Times"/>
                <w:color w:val="201547"/>
                <w:sz w:val="22"/>
                <w:szCs w:val="22"/>
              </w:rPr>
            </w:pPr>
            <w:r w:rsidRPr="00AC045F">
              <w:rPr>
                <w:rFonts w:eastAsia="Times"/>
                <w:color w:val="201547"/>
                <w:sz w:val="22"/>
                <w:szCs w:val="22"/>
              </w:rPr>
              <w:t>New (current) protective marking scheme under VPDSS</w:t>
            </w:r>
          </w:p>
        </w:tc>
      </w:tr>
      <w:tr w:rsidR="00AC045F" w:rsidRPr="004A3B6D" w14:paraId="33683B04" w14:textId="77777777" w:rsidTr="00670CC6">
        <w:trPr>
          <w:trHeight w:val="828"/>
        </w:trPr>
        <w:tc>
          <w:tcPr>
            <w:tcW w:w="7510" w:type="dxa"/>
          </w:tcPr>
          <w:p w14:paraId="06EF82B8" w14:textId="77777777" w:rsidR="00AC045F" w:rsidRPr="004A3B6D" w:rsidRDefault="00AC045F" w:rsidP="00670CC6">
            <w:pPr>
              <w:pStyle w:val="Body"/>
              <w:rPr>
                <w:lang w:eastAsia="en-AU"/>
              </w:rPr>
            </w:pPr>
            <w:r>
              <w:rPr>
                <w:lang w:eastAsia="en-AU"/>
              </w:rPr>
              <w:t>No equivalent.</w:t>
            </w:r>
          </w:p>
        </w:tc>
        <w:tc>
          <w:tcPr>
            <w:tcW w:w="7511" w:type="dxa"/>
          </w:tcPr>
          <w:p w14:paraId="2D766E0A" w14:textId="77777777" w:rsidR="00AC045F" w:rsidRPr="004A3B6D" w:rsidRDefault="00AC045F" w:rsidP="00670CC6">
            <w:pPr>
              <w:pStyle w:val="Body"/>
              <w:rPr>
                <w:lang w:eastAsia="en-AU"/>
              </w:rPr>
            </w:pPr>
            <w:r>
              <w:rPr>
                <w:lang w:eastAsia="en-AU"/>
              </w:rPr>
              <w:t>‘unofficial’ (informal protective marking and therefore, invisible).</w:t>
            </w:r>
          </w:p>
        </w:tc>
      </w:tr>
      <w:tr w:rsidR="00AC045F" w:rsidRPr="004A3B6D" w14:paraId="7DA6C99B" w14:textId="77777777" w:rsidTr="00670CC6">
        <w:trPr>
          <w:trHeight w:val="828"/>
        </w:trPr>
        <w:tc>
          <w:tcPr>
            <w:tcW w:w="7510" w:type="dxa"/>
          </w:tcPr>
          <w:p w14:paraId="40ACE9EF" w14:textId="77777777" w:rsidR="00AC045F" w:rsidRPr="004A3B6D" w:rsidRDefault="00AC045F" w:rsidP="00670CC6">
            <w:pPr>
              <w:pStyle w:val="Body"/>
              <w:rPr>
                <w:lang w:val="en-US"/>
              </w:rPr>
            </w:pPr>
            <w:r w:rsidRPr="004A3B6D">
              <w:rPr>
                <w:lang w:eastAsia="en-AU"/>
              </w:rPr>
              <w:t>CONFIDENTIAL</w:t>
            </w:r>
          </w:p>
        </w:tc>
        <w:tc>
          <w:tcPr>
            <w:tcW w:w="7511" w:type="dxa"/>
          </w:tcPr>
          <w:p w14:paraId="44975BBA" w14:textId="77777777" w:rsidR="00AC045F" w:rsidRPr="004A3B6D" w:rsidRDefault="00AC045F" w:rsidP="00670CC6">
            <w:pPr>
              <w:pStyle w:val="Body"/>
              <w:rPr>
                <w:lang w:val="en-US"/>
              </w:rPr>
            </w:pPr>
            <w:r w:rsidRPr="004A3B6D">
              <w:rPr>
                <w:lang w:eastAsia="en-AU"/>
              </w:rPr>
              <w:t>No direct replacement. Re-assess the information and apply an appropriate protective marking.</w:t>
            </w:r>
          </w:p>
        </w:tc>
      </w:tr>
      <w:tr w:rsidR="00AC045F" w:rsidRPr="004A3B6D" w14:paraId="6656F0A3" w14:textId="77777777" w:rsidTr="00670CC6">
        <w:trPr>
          <w:trHeight w:val="828"/>
        </w:trPr>
        <w:tc>
          <w:tcPr>
            <w:tcW w:w="7510" w:type="dxa"/>
          </w:tcPr>
          <w:p w14:paraId="029133C0" w14:textId="77777777" w:rsidR="00AC045F" w:rsidRPr="001A12BC" w:rsidRDefault="00AC045F" w:rsidP="00670CC6">
            <w:pPr>
              <w:pStyle w:val="Body"/>
              <w:rPr>
                <w:szCs w:val="21"/>
                <w:lang w:val="en-US"/>
              </w:rPr>
            </w:pPr>
            <w:r w:rsidRPr="001A12BC">
              <w:rPr>
                <w:szCs w:val="21"/>
                <w:lang w:eastAsia="en-AU"/>
              </w:rPr>
              <w:t>UNCLASSIFIED</w:t>
            </w:r>
          </w:p>
        </w:tc>
        <w:tc>
          <w:tcPr>
            <w:tcW w:w="7511" w:type="dxa"/>
          </w:tcPr>
          <w:p w14:paraId="177B0AB8" w14:textId="77777777" w:rsidR="00AC045F" w:rsidRPr="001A12BC" w:rsidRDefault="00AC045F" w:rsidP="00670CC6">
            <w:pPr>
              <w:rPr>
                <w:rFonts w:ascii="Arial Black" w:hAnsi="Arial Black"/>
                <w:szCs w:val="21"/>
                <w:lang w:val="en-US"/>
              </w:rPr>
            </w:pPr>
            <w:r w:rsidRPr="001A12BC">
              <w:rPr>
                <w:rFonts w:ascii="Arial Black" w:hAnsi="Arial Black" w:cs="Arial"/>
                <w:color w:val="000000"/>
                <w:kern w:val="24"/>
                <w:szCs w:val="21"/>
                <w:lang w:eastAsia="en-AU"/>
              </w:rPr>
              <w:t>OFFICIAL</w:t>
            </w:r>
          </w:p>
        </w:tc>
      </w:tr>
      <w:tr w:rsidR="00AC045F" w:rsidRPr="004A3B6D" w14:paraId="3B7D9825" w14:textId="77777777" w:rsidTr="00670CC6">
        <w:trPr>
          <w:trHeight w:val="828"/>
        </w:trPr>
        <w:tc>
          <w:tcPr>
            <w:tcW w:w="7510" w:type="dxa"/>
          </w:tcPr>
          <w:p w14:paraId="305A8C1C" w14:textId="77777777" w:rsidR="00AC045F" w:rsidRPr="001A12BC" w:rsidRDefault="00AC045F" w:rsidP="00670CC6">
            <w:pPr>
              <w:pStyle w:val="Body"/>
              <w:rPr>
                <w:szCs w:val="21"/>
                <w:lang w:val="en-US"/>
              </w:rPr>
            </w:pPr>
            <w:r w:rsidRPr="001A12BC">
              <w:rPr>
                <w:szCs w:val="21"/>
                <w:lang w:eastAsia="en-AU"/>
              </w:rPr>
              <w:t>FOR OFFICIAL USE ONLY</w:t>
            </w:r>
          </w:p>
        </w:tc>
        <w:tc>
          <w:tcPr>
            <w:tcW w:w="7511" w:type="dxa"/>
          </w:tcPr>
          <w:p w14:paraId="1CBDE16B" w14:textId="77777777" w:rsidR="00AC045F" w:rsidRPr="001A12BC" w:rsidRDefault="00AC045F" w:rsidP="00670CC6">
            <w:pPr>
              <w:rPr>
                <w:rFonts w:ascii="Arial Black" w:hAnsi="Arial Black"/>
                <w:color w:val="D50032"/>
                <w:szCs w:val="21"/>
                <w:lang w:val="en-US"/>
              </w:rPr>
            </w:pPr>
            <w:r w:rsidRPr="001A12BC">
              <w:rPr>
                <w:rFonts w:ascii="Arial Black" w:hAnsi="Arial Black" w:cs="Arial"/>
                <w:color w:val="D50032"/>
                <w:kern w:val="24"/>
                <w:szCs w:val="21"/>
                <w:lang w:eastAsia="en-AU"/>
              </w:rPr>
              <w:t>OFFICIAL: Sensitive</w:t>
            </w:r>
          </w:p>
        </w:tc>
      </w:tr>
      <w:tr w:rsidR="00AC045F" w:rsidRPr="004A3B6D" w14:paraId="024DE5AE" w14:textId="77777777" w:rsidTr="00670CC6">
        <w:trPr>
          <w:trHeight w:val="828"/>
        </w:trPr>
        <w:tc>
          <w:tcPr>
            <w:tcW w:w="7510" w:type="dxa"/>
          </w:tcPr>
          <w:p w14:paraId="5C4287D9" w14:textId="77777777" w:rsidR="00AC045F" w:rsidRPr="001A12BC" w:rsidRDefault="00AC045F" w:rsidP="00670CC6">
            <w:pPr>
              <w:rPr>
                <w:color w:val="D50032"/>
                <w:szCs w:val="21"/>
                <w:lang w:val="en-US"/>
              </w:rPr>
            </w:pPr>
            <w:r w:rsidRPr="001A12BC">
              <w:rPr>
                <w:rFonts w:cs="Arial"/>
                <w:color w:val="D50032"/>
                <w:kern w:val="24"/>
                <w:szCs w:val="21"/>
                <w:lang w:eastAsia="en-AU"/>
              </w:rPr>
              <w:t>PROTECTED</w:t>
            </w:r>
          </w:p>
        </w:tc>
        <w:tc>
          <w:tcPr>
            <w:tcW w:w="7511" w:type="dxa"/>
          </w:tcPr>
          <w:p w14:paraId="7F6289D0" w14:textId="77777777" w:rsidR="00AC045F" w:rsidRPr="001A12BC" w:rsidRDefault="00AC045F" w:rsidP="00670CC6">
            <w:pPr>
              <w:rPr>
                <w:rFonts w:ascii="Arial Black" w:hAnsi="Arial Black"/>
                <w:color w:val="D50032"/>
                <w:szCs w:val="21"/>
                <w:lang w:val="en-US"/>
              </w:rPr>
            </w:pPr>
            <w:r w:rsidRPr="001A12BC">
              <w:rPr>
                <w:rFonts w:ascii="Arial Black" w:hAnsi="Arial Black" w:cs="Arial"/>
                <w:color w:val="D50032"/>
                <w:kern w:val="24"/>
                <w:szCs w:val="21"/>
                <w:lang w:eastAsia="en-AU"/>
              </w:rPr>
              <w:t>PROTECTED</w:t>
            </w:r>
          </w:p>
        </w:tc>
      </w:tr>
      <w:tr w:rsidR="00AC045F" w:rsidRPr="004A3B6D" w14:paraId="6A16C721" w14:textId="77777777" w:rsidTr="00670CC6">
        <w:trPr>
          <w:trHeight w:val="828"/>
        </w:trPr>
        <w:tc>
          <w:tcPr>
            <w:tcW w:w="7510" w:type="dxa"/>
          </w:tcPr>
          <w:p w14:paraId="0170F418" w14:textId="77777777" w:rsidR="00AC045F" w:rsidRPr="001A12BC" w:rsidRDefault="00AC045F" w:rsidP="00670CC6">
            <w:pPr>
              <w:rPr>
                <w:rFonts w:cs="Arial"/>
                <w:color w:val="D50032"/>
                <w:szCs w:val="21"/>
                <w:lang w:eastAsia="en-AU"/>
              </w:rPr>
            </w:pPr>
            <w:r w:rsidRPr="001A12BC">
              <w:rPr>
                <w:rFonts w:cs="Arial"/>
                <w:color w:val="D50032"/>
                <w:kern w:val="24"/>
                <w:szCs w:val="21"/>
                <w:lang w:eastAsia="en-AU"/>
              </w:rPr>
              <w:t>Protected: Vic Cabinet</w:t>
            </w:r>
          </w:p>
          <w:p w14:paraId="6550F2D1" w14:textId="77777777" w:rsidR="00AC045F" w:rsidRPr="001A12BC" w:rsidRDefault="00AC045F" w:rsidP="00670CC6">
            <w:pPr>
              <w:rPr>
                <w:szCs w:val="21"/>
                <w:lang w:val="en-US"/>
              </w:rPr>
            </w:pPr>
            <w:r w:rsidRPr="001A12BC">
              <w:rPr>
                <w:rFonts w:cs="Arial"/>
                <w:color w:val="D50032"/>
                <w:kern w:val="24"/>
                <w:szCs w:val="21"/>
                <w:lang w:eastAsia="en-AU"/>
              </w:rPr>
              <w:t>Sensitive: Vic Cabinet</w:t>
            </w:r>
          </w:p>
        </w:tc>
        <w:tc>
          <w:tcPr>
            <w:tcW w:w="7511" w:type="dxa"/>
          </w:tcPr>
          <w:p w14:paraId="6D80324E" w14:textId="77777777" w:rsidR="00AC045F" w:rsidRPr="001A12BC" w:rsidRDefault="00AC045F" w:rsidP="00670CC6">
            <w:pPr>
              <w:rPr>
                <w:rFonts w:ascii="Arial Black" w:hAnsi="Arial Black"/>
                <w:color w:val="D50032"/>
                <w:szCs w:val="21"/>
                <w:lang w:val="en-US"/>
              </w:rPr>
            </w:pPr>
            <w:r w:rsidRPr="001A12BC">
              <w:rPr>
                <w:rFonts w:ascii="Arial Black" w:hAnsi="Arial Black" w:cs="Arial"/>
                <w:color w:val="D50032"/>
                <w:kern w:val="24"/>
                <w:szCs w:val="21"/>
                <w:lang w:eastAsia="en-AU"/>
              </w:rPr>
              <w:t>PROTECTED // Cabinet-In-Confidence</w:t>
            </w:r>
          </w:p>
        </w:tc>
      </w:tr>
    </w:tbl>
    <w:p w14:paraId="06E2334E" w14:textId="77777777" w:rsidR="00AC045F" w:rsidRPr="00772B98" w:rsidRDefault="00AC045F" w:rsidP="00AC045F">
      <w:pPr>
        <w:pStyle w:val="Body"/>
      </w:pPr>
    </w:p>
    <w:p w14:paraId="2ED6E38C" w14:textId="77777777" w:rsidR="00AC045F" w:rsidRPr="008352B6" w:rsidRDefault="00AC045F" w:rsidP="00AC045F">
      <w:pPr>
        <w:pStyle w:val="Bullet1"/>
        <w:rPr>
          <w:rStyle w:val="Emphasis"/>
          <w:rFonts w:ascii="Arial" w:hAnsi="Arial" w:cs="Arial"/>
        </w:rPr>
      </w:pPr>
      <w:r w:rsidRPr="008352B6">
        <w:rPr>
          <w:rStyle w:val="Emphasis"/>
          <w:rFonts w:ascii="Arial" w:hAnsi="Arial" w:cs="Arial"/>
        </w:rPr>
        <w:t>‘CONFIDENTIAL’ (former marking) -&gt; No direct replacement. Re-assess the information and apply an appropriate protective marking</w:t>
      </w:r>
    </w:p>
    <w:p w14:paraId="04E42BC8" w14:textId="77777777" w:rsidR="00AC045F" w:rsidRPr="008352B6" w:rsidRDefault="00AC045F" w:rsidP="00AC045F">
      <w:pPr>
        <w:pStyle w:val="Bullet1"/>
        <w:rPr>
          <w:rStyle w:val="Emphasis"/>
          <w:rFonts w:ascii="Arial" w:hAnsi="Arial" w:cs="Arial"/>
        </w:rPr>
      </w:pPr>
      <w:r w:rsidRPr="008352B6">
        <w:rPr>
          <w:rStyle w:val="Emphasis"/>
          <w:rFonts w:ascii="Arial" w:hAnsi="Arial" w:cs="Arial"/>
        </w:rPr>
        <w:t>UNCLASSIFIED (former marking) – replace with ‘OFFICIAL’.</w:t>
      </w:r>
    </w:p>
    <w:p w14:paraId="40705ACB" w14:textId="77777777" w:rsidR="00AC045F" w:rsidRPr="008352B6" w:rsidRDefault="00AC045F" w:rsidP="00AC045F">
      <w:pPr>
        <w:pStyle w:val="Bullet1"/>
        <w:rPr>
          <w:rStyle w:val="Emphasis"/>
          <w:rFonts w:ascii="Arial" w:hAnsi="Arial" w:cs="Arial"/>
        </w:rPr>
      </w:pPr>
      <w:r w:rsidRPr="008352B6">
        <w:rPr>
          <w:rStyle w:val="Emphasis"/>
          <w:rFonts w:ascii="Arial" w:hAnsi="Arial" w:cs="Arial"/>
        </w:rPr>
        <w:t>FOR OFFICIAL USE ONLY (former marking) – replace with ‘OFFICIAL: Sensitive’.</w:t>
      </w:r>
    </w:p>
    <w:p w14:paraId="3157EDFF" w14:textId="77777777" w:rsidR="00AC045F" w:rsidRPr="008352B6" w:rsidRDefault="00AC045F" w:rsidP="00AC045F">
      <w:pPr>
        <w:pStyle w:val="Bullet1"/>
        <w:rPr>
          <w:rStyle w:val="Emphasis"/>
          <w:rFonts w:ascii="Arial" w:hAnsi="Arial" w:cs="Arial"/>
        </w:rPr>
      </w:pPr>
      <w:r w:rsidRPr="008352B6">
        <w:rPr>
          <w:rStyle w:val="Emphasis"/>
          <w:rFonts w:ascii="Arial" w:hAnsi="Arial" w:cs="Arial"/>
        </w:rPr>
        <w:t>PROTECTED protective marking is unchanged.</w:t>
      </w:r>
    </w:p>
    <w:p w14:paraId="155217B8" w14:textId="77777777" w:rsidR="00AC045F" w:rsidRPr="008352B6" w:rsidRDefault="00AC045F" w:rsidP="00AC045F">
      <w:pPr>
        <w:pStyle w:val="Bullet1"/>
        <w:rPr>
          <w:rStyle w:val="Emphasis"/>
          <w:rFonts w:ascii="Arial" w:hAnsi="Arial" w:cs="Arial"/>
          <w:iCs w:val="0"/>
        </w:rPr>
      </w:pPr>
      <w:r w:rsidRPr="008352B6">
        <w:rPr>
          <w:rStyle w:val="Emphasis"/>
          <w:rFonts w:ascii="Arial" w:hAnsi="Arial" w:cs="Arial"/>
        </w:rPr>
        <w:t>‘Protected: Vic Cabinet’ and ‘Sensitive: Vic Cabinet’ (former marking) – replace with ‘PROTECTED // Cabinet-In-Confidence’.</w:t>
      </w:r>
    </w:p>
    <w:tbl>
      <w:tblPr>
        <w:tblStyle w:val="TableGrid"/>
        <w:tblW w:w="15163" w:type="dxa"/>
        <w:tblCellMar>
          <w:bottom w:w="108" w:type="dxa"/>
        </w:tblCellMar>
        <w:tblLook w:val="0600" w:firstRow="0" w:lastRow="0" w:firstColumn="0" w:lastColumn="0" w:noHBand="1" w:noVBand="1"/>
      </w:tblPr>
      <w:tblGrid>
        <w:gridCol w:w="15163"/>
      </w:tblGrid>
      <w:tr w:rsidR="00AC045F" w14:paraId="1524E1FF" w14:textId="77777777" w:rsidTr="00670CC6">
        <w:tc>
          <w:tcPr>
            <w:tcW w:w="15163" w:type="dxa"/>
          </w:tcPr>
          <w:p w14:paraId="0964BDA5" w14:textId="77777777" w:rsidR="00AC045F" w:rsidRPr="0055119B" w:rsidRDefault="00AC045F" w:rsidP="00670CC6">
            <w:pPr>
              <w:pStyle w:val="Accessibilitypara"/>
            </w:pPr>
            <w:r w:rsidRPr="0055119B">
              <w:lastRenderedPageBreak/>
              <w:t>To receive this document in another format</w:t>
            </w:r>
            <w:r>
              <w:t>,</w:t>
            </w:r>
            <w:r w:rsidRPr="0055119B">
              <w:t xml:space="preserve"> phone </w:t>
            </w:r>
            <w:r>
              <w:t>03 9096 2670</w:t>
            </w:r>
            <w:r w:rsidRPr="0055119B">
              <w:t xml:space="preserve">, using the National Relay Service 13 36 77 if required, or email </w:t>
            </w:r>
            <w:hyperlink r:id="rId21" w:history="1">
              <w:r w:rsidRPr="00DE55E7">
                <w:rPr>
                  <w:rStyle w:val="Hyperlink"/>
                </w:rPr>
                <w:t>email Information Management</w:t>
              </w:r>
            </w:hyperlink>
            <w:r>
              <w:t xml:space="preserve"> &lt;</w:t>
            </w:r>
            <w:r w:rsidRPr="00DE55E7">
              <w:t>Info.management@</w:t>
            </w:r>
            <w:r>
              <w:t>health</w:t>
            </w:r>
            <w:r w:rsidRPr="00DE55E7">
              <w:t>.vic.gov.au</w:t>
            </w:r>
            <w:r>
              <w:t>&gt;</w:t>
            </w:r>
          </w:p>
          <w:p w14:paraId="78CC2793" w14:textId="77777777" w:rsidR="00AC045F" w:rsidRPr="0055119B" w:rsidRDefault="00AC045F" w:rsidP="00670CC6">
            <w:pPr>
              <w:pStyle w:val="Imprint"/>
            </w:pPr>
            <w:r w:rsidRPr="0055119B">
              <w:t>Authorised and published by the Victorian Government, 1 Treasury Place, Melbourne.</w:t>
            </w:r>
          </w:p>
          <w:p w14:paraId="4B171AED" w14:textId="77777777" w:rsidR="00AC045F" w:rsidRPr="0055119B" w:rsidRDefault="00AC045F" w:rsidP="00670CC6">
            <w:pPr>
              <w:pStyle w:val="Imprint"/>
            </w:pPr>
            <w:r w:rsidRPr="0055119B">
              <w:t xml:space="preserve">© State of Victoria, Australia, </w:t>
            </w:r>
            <w:r w:rsidRPr="001E2A36">
              <w:t>Department of Health</w:t>
            </w:r>
            <w:r w:rsidRPr="0055119B">
              <w:t xml:space="preserve">, </w:t>
            </w:r>
            <w:r w:rsidRPr="001A12BC">
              <w:t>November 2021</w:t>
            </w:r>
          </w:p>
          <w:p w14:paraId="5070DEEC" w14:textId="079315BB" w:rsidR="00AC045F" w:rsidRDefault="00AC045F" w:rsidP="00670CC6">
            <w:pPr>
              <w:pStyle w:val="Imprint"/>
            </w:pPr>
            <w:r w:rsidRPr="0055119B">
              <w:t xml:space="preserve">Available at </w:t>
            </w:r>
            <w:hyperlink r:id="rId22" w:history="1">
              <w:r w:rsidRPr="00EE1C3B">
                <w:rPr>
                  <w:rStyle w:val="Hyperlink"/>
                </w:rPr>
                <w:t>About protective markings for clients and partners guide</w:t>
              </w:r>
            </w:hyperlink>
            <w:r>
              <w:t xml:space="preserve"> &lt;</w:t>
            </w:r>
            <w:r w:rsidR="00EE1C3B" w:rsidRPr="00EE1C3B">
              <w:t>https://www.dffh.vic.gov.au/about-protective-markings-clients-and-partners-guide</w:t>
            </w:r>
            <w:r>
              <w:t>&gt;.</w:t>
            </w:r>
          </w:p>
        </w:tc>
      </w:tr>
    </w:tbl>
    <w:p w14:paraId="42FEBA72" w14:textId="77777777" w:rsidR="00AC045F" w:rsidRDefault="00AC045F" w:rsidP="00AC045F">
      <w:pPr>
        <w:pStyle w:val="Body"/>
      </w:pPr>
    </w:p>
    <w:bookmarkEnd w:id="0"/>
    <w:p w14:paraId="32FF6D15" w14:textId="77777777" w:rsidR="00AC045F" w:rsidRPr="00E261B3" w:rsidRDefault="00AC045F" w:rsidP="003B1BDC">
      <w:pPr>
        <w:pStyle w:val="Body"/>
        <w:rPr>
          <w:rFonts w:eastAsia="Times New Roman"/>
          <w:color w:val="87189D"/>
        </w:rPr>
      </w:pPr>
    </w:p>
    <w:sectPr w:rsidR="00AC045F" w:rsidRPr="00E261B3" w:rsidSect="00502603">
      <w:headerReference w:type="default" r:id="rId23"/>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45A64" w14:textId="77777777" w:rsidR="00E81792" w:rsidRDefault="00E81792">
      <w:r>
        <w:separator/>
      </w:r>
    </w:p>
    <w:p w14:paraId="3B5C7CDB" w14:textId="77777777" w:rsidR="00E81792" w:rsidRDefault="00E81792"/>
  </w:endnote>
  <w:endnote w:type="continuationSeparator" w:id="0">
    <w:p w14:paraId="258FC026" w14:textId="77777777" w:rsidR="00E81792" w:rsidRDefault="00E81792">
      <w:r>
        <w:continuationSeparator/>
      </w:r>
    </w:p>
    <w:p w14:paraId="16CB2DD3" w14:textId="77777777" w:rsidR="00E81792" w:rsidRDefault="00E8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A84F" w14:textId="77777777" w:rsidR="00164C53" w:rsidRDefault="00164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2988E" w14:textId="77777777" w:rsidR="00E261B3" w:rsidRPr="00F65AA9" w:rsidRDefault="00925DD5" w:rsidP="00EF2C72">
    <w:pPr>
      <w:pStyle w:val="Footer"/>
    </w:pPr>
    <w:r>
      <w:rPr>
        <w:noProof/>
        <w:lang w:eastAsia="en-AU"/>
      </w:rPr>
      <mc:AlternateContent>
        <mc:Choice Requires="wps">
          <w:drawing>
            <wp:anchor distT="0" distB="0" distL="114300" distR="114300" simplePos="0" relativeHeight="251655168" behindDoc="0" locked="0" layoutInCell="0" allowOverlap="1" wp14:anchorId="64E86D87" wp14:editId="43BEC15D">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8CEF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E86D8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1F28CEF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63360" behindDoc="1" locked="1" layoutInCell="1" allowOverlap="1" wp14:anchorId="080CE727" wp14:editId="720C78E4">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5F29" w14:textId="77777777" w:rsidR="00E261B3" w:rsidRDefault="00925DD5">
    <w:pPr>
      <w:pStyle w:val="Footer"/>
    </w:pPr>
    <w:r>
      <w:rPr>
        <w:noProof/>
      </w:rPr>
      <mc:AlternateContent>
        <mc:Choice Requires="wps">
          <w:drawing>
            <wp:anchor distT="0" distB="0" distL="114300" distR="114300" simplePos="1" relativeHeight="251659264" behindDoc="0" locked="0" layoutInCell="0" allowOverlap="1" wp14:anchorId="6386A5BB" wp14:editId="3F90EE25">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917A3"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86A5BB"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18E917A3"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FE9B4" w14:textId="77777777" w:rsidR="00E81792" w:rsidRDefault="00E81792" w:rsidP="00207717">
      <w:pPr>
        <w:spacing w:before="120"/>
      </w:pPr>
      <w:r>
        <w:separator/>
      </w:r>
    </w:p>
  </w:footnote>
  <w:footnote w:type="continuationSeparator" w:id="0">
    <w:p w14:paraId="59DB107A" w14:textId="77777777" w:rsidR="00E81792" w:rsidRDefault="00E81792">
      <w:r>
        <w:continuationSeparator/>
      </w:r>
    </w:p>
    <w:p w14:paraId="4414093D" w14:textId="77777777" w:rsidR="00E81792" w:rsidRDefault="00E81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ABB8" w14:textId="77777777" w:rsidR="00164C53" w:rsidRDefault="00164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8AAC"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06110" w14:textId="77777777" w:rsidR="00164C53" w:rsidRDefault="00164C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6FAFC" w14:textId="6279E2D7" w:rsidR="00E261B3" w:rsidRPr="0051568D" w:rsidRDefault="00AC045F" w:rsidP="0017674D">
    <w:pPr>
      <w:pStyle w:val="Header"/>
    </w:pPr>
    <w:r w:rsidRPr="001A12BC">
      <w:t>About protective markings</w:t>
    </w:r>
    <w:r>
      <w:t xml:space="preserve"> – guide for clients and partners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5F"/>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78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4C53"/>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518"/>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88F"/>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1BCB"/>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451F"/>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5D73"/>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35FD"/>
    <w:rsid w:val="006F6A31"/>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2C12"/>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383E"/>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664C"/>
    <w:rsid w:val="00A67263"/>
    <w:rsid w:val="00A7161C"/>
    <w:rsid w:val="00A77AA3"/>
    <w:rsid w:val="00A8236D"/>
    <w:rsid w:val="00A854EB"/>
    <w:rsid w:val="00A872E5"/>
    <w:rsid w:val="00A91406"/>
    <w:rsid w:val="00A96E65"/>
    <w:rsid w:val="00A96ECE"/>
    <w:rsid w:val="00A97C72"/>
    <w:rsid w:val="00AA310B"/>
    <w:rsid w:val="00AA6054"/>
    <w:rsid w:val="00AA63D4"/>
    <w:rsid w:val="00AB06E8"/>
    <w:rsid w:val="00AB1CD3"/>
    <w:rsid w:val="00AB352F"/>
    <w:rsid w:val="00AC045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27F7"/>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45747"/>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05E"/>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1792"/>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1C3B"/>
    <w:rsid w:val="00EE29AD"/>
    <w:rsid w:val="00EE3E24"/>
    <w:rsid w:val="00EE4D5D"/>
    <w:rsid w:val="00EE5131"/>
    <w:rsid w:val="00EF109B"/>
    <w:rsid w:val="00EF201C"/>
    <w:rsid w:val="00EF2C72"/>
    <w:rsid w:val="00EF2DAB"/>
    <w:rsid w:val="00EF36AF"/>
    <w:rsid w:val="00EF59A3"/>
    <w:rsid w:val="00EF6675"/>
    <w:rsid w:val="00F0063D"/>
    <w:rsid w:val="00F00F9C"/>
    <w:rsid w:val="00F01E5F"/>
    <w:rsid w:val="00F024F3"/>
    <w:rsid w:val="00F02ABA"/>
    <w:rsid w:val="00F0437A"/>
    <w:rsid w:val="00F101B8"/>
    <w:rsid w:val="00F10C7D"/>
    <w:rsid w:val="00F11037"/>
    <w:rsid w:val="00F169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5901F"/>
  <w15:docId w15:val="{068834C1-4005-4AF2-B8FB-D31A6BC7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DHHStabletext">
    <w:name w:val="DHHS table text"/>
    <w:uiPriority w:val="3"/>
    <w:qFormat/>
    <w:rsid w:val="00AC045F"/>
    <w:pPr>
      <w:spacing w:before="80" w:after="60"/>
    </w:pPr>
    <w:rPr>
      <w:rFonts w:ascii="Arial" w:hAnsi="Arial"/>
      <w:lang w:eastAsia="en-US"/>
    </w:rPr>
  </w:style>
  <w:style w:type="paragraph" w:customStyle="1" w:styleId="DHHStablecolhead">
    <w:name w:val="DHHS table col head"/>
    <w:uiPriority w:val="3"/>
    <w:qFormat/>
    <w:rsid w:val="00AC045F"/>
    <w:pPr>
      <w:spacing w:before="80" w:after="60"/>
    </w:pPr>
    <w:rPr>
      <w:rFonts w:ascii="Arial" w:hAnsi="Arial"/>
      <w:b/>
      <w:color w:val="C5511A"/>
      <w:lang w:eastAsia="en-US"/>
    </w:rPr>
  </w:style>
  <w:style w:type="paragraph" w:customStyle="1" w:styleId="paragraph">
    <w:name w:val="paragraph"/>
    <w:basedOn w:val="Normal"/>
    <w:rsid w:val="00AC045F"/>
    <w:pPr>
      <w:spacing w:before="100" w:beforeAutospacing="1" w:after="100" w:afterAutospacing="1" w:line="240" w:lineRule="auto"/>
    </w:pPr>
    <w:rPr>
      <w:rFonts w:ascii="Times New Roman" w:hAnsi="Times New Roman"/>
      <w:sz w:val="24"/>
      <w:szCs w:val="24"/>
      <w:lang w:eastAsia="en-AU"/>
    </w:rPr>
  </w:style>
  <w:style w:type="paragraph" w:customStyle="1" w:styleId="DHHStablecaption">
    <w:name w:val="DHHS table caption"/>
    <w:next w:val="Normal"/>
    <w:uiPriority w:val="3"/>
    <w:qFormat/>
    <w:rsid w:val="00AC045F"/>
    <w:pPr>
      <w:keepNext/>
      <w:keepLines/>
      <w:spacing w:before="240" w:after="120" w:line="240" w:lineRule="atLeast"/>
    </w:pPr>
    <w:rPr>
      <w:rFonts w:ascii="Arial" w:hAnsi="Arial"/>
      <w:b/>
      <w:lang w:eastAsia="en-US"/>
    </w:rPr>
  </w:style>
  <w:style w:type="character" w:styleId="Emphasis">
    <w:name w:val="Emphasis"/>
    <w:basedOn w:val="DefaultParagraphFont"/>
    <w:uiPriority w:val="3"/>
    <w:qFormat/>
    <w:rsid w:val="00AC045F"/>
    <w:rPr>
      <w:rFonts w:ascii="Arial Black" w:hAnsi="Arial Black"/>
      <w:b w:val="0"/>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ovic.vic.gov.au/resource/user-guide-handling-protectively-marked-information-v2-0/" TargetMode="External"/><Relationship Id="rId3" Type="http://schemas.openxmlformats.org/officeDocument/2006/relationships/customXml" Target="../customXml/item3.xml"/><Relationship Id="rId21" Type="http://schemas.openxmlformats.org/officeDocument/2006/relationships/hyperlink" Target="mailto:Info.management@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rotectivesecurity.gov.au/information/sensitive-classified-information/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vic.gov.au/guidelines-working-gover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ffh.vic.gov.au/about-protective-markings-clients-and-partners-gui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05fbaad-391a-4ca2-97c5-2d33bfa72e46" xsi:nil="true"/>
    <_Flow_SignoffStatus xmlns="205fbaad-391a-4ca2-97c5-2d33bfa72e4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AE7CF369DC66449F89BBFF3A12E03F" ma:contentTypeVersion="15" ma:contentTypeDescription="Create a new document." ma:contentTypeScope="" ma:versionID="a1c0f5bfcec2a5be5b3c642fa8fe5925">
  <xsd:schema xmlns:xsd="http://www.w3.org/2001/XMLSchema" xmlns:xs="http://www.w3.org/2001/XMLSchema" xmlns:p="http://schemas.microsoft.com/office/2006/metadata/properties" xmlns:ns1="http://schemas.microsoft.com/sharepoint/v3" xmlns:ns2="205fbaad-391a-4ca2-97c5-2d33bfa72e46" xmlns:ns3="0c525496-8d10-410d-880d-0b8044733497" targetNamespace="http://schemas.microsoft.com/office/2006/metadata/properties" ma:root="true" ma:fieldsID="e62f3f68b4cd30c4d76ba6783aecc3bf" ns1:_="" ns2:_="" ns3:_="">
    <xsd:import namespace="http://schemas.microsoft.com/sharepoint/v3"/>
    <xsd:import namespace="205fbaad-391a-4ca2-97c5-2d33bfa72e46"/>
    <xsd:import namespace="0c525496-8d10-410d-880d-0b80447334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_Flow_SignoffStatus" minOccurs="0"/>
                <xsd:element ref="ns2:Comment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fbaad-391a-4ca2-97c5-2d33bfa72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25496-8d10-410d-880d-0b8044733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05fbaad-391a-4ca2-97c5-2d33bfa72e46"/>
    <ds:schemaRef ds:uri="http://schemas.microsoft.com/sharepoint/v3"/>
  </ds:schemaRefs>
</ds:datastoreItem>
</file>

<file path=customXml/itemProps2.xml><?xml version="1.0" encoding="utf-8"?>
<ds:datastoreItem xmlns:ds="http://schemas.openxmlformats.org/officeDocument/2006/customXml" ds:itemID="{23C592CB-8B64-44B8-8838-EA5D7424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5fbaad-391a-4ca2-97c5-2d33bfa72e46"/>
    <ds:schemaRef ds:uri="0c525496-8d10-410d-880d-0b8044733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teal factsheet landscape.dotx</Template>
  <TotalTime>4</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DFFH teal factsheet landscape</vt:lpstr>
    </vt:vector>
  </TitlesOfParts>
  <Company>Victoria State Government, Department of Familes, Fairness and Housing</Company>
  <LinksUpToDate>false</LinksUpToDate>
  <CharactersWithSpaces>6464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landscape</dc:title>
  <dc:creator>Nadine Louis (Health)</dc:creator>
  <cp:lastModifiedBy>Laurel Cameron (DFFH)</cp:lastModifiedBy>
  <cp:revision>4</cp:revision>
  <cp:lastPrinted>2021-01-29T05:27:00Z</cp:lastPrinted>
  <dcterms:created xsi:type="dcterms:W3CDTF">2021-11-08T06:36:00Z</dcterms:created>
  <dcterms:modified xsi:type="dcterms:W3CDTF">2021-11-09T04:49:00Z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0x0101001CAE7CF369DC66449F89BBFF3A12E03F</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2021-11-09T04:49:09Z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ies>
</file>